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1B" w:rsidRDefault="00180887">
      <w:pPr>
        <w:rPr>
          <w:rFonts w:ascii="Tahoma" w:hAnsi="Tahoma" w:cs="Tahoma"/>
          <w:b/>
          <w:sz w:val="28"/>
          <w:szCs w:val="28"/>
        </w:rPr>
      </w:pPr>
      <w:bookmarkStart w:id="0" w:name="_GoBack"/>
      <w:bookmarkEnd w:id="0"/>
      <w:r w:rsidRPr="00180887">
        <w:rPr>
          <w:rFonts w:ascii="Tahoma" w:hAnsi="Tahoma" w:cs="Tahoma"/>
          <w:b/>
          <w:sz w:val="28"/>
          <w:szCs w:val="28"/>
        </w:rPr>
        <w:t>Products for Liver Fluke Control</w:t>
      </w:r>
    </w:p>
    <w:p w:rsidR="00180887" w:rsidRDefault="00786545">
      <w:pPr>
        <w:rPr>
          <w:rFonts w:ascii="Tahoma" w:hAnsi="Tahoma" w:cs="Tahoma"/>
          <w:sz w:val="20"/>
          <w:szCs w:val="20"/>
        </w:rPr>
      </w:pPr>
      <w:r w:rsidRPr="00786545">
        <w:rPr>
          <w:rFonts w:ascii="Tahoma" w:hAnsi="Tahoma" w:cs="Tahoma"/>
          <w:sz w:val="20"/>
          <w:szCs w:val="20"/>
        </w:rPr>
        <w:t>The table</w:t>
      </w:r>
      <w:r w:rsidR="00EB1F13">
        <w:rPr>
          <w:rFonts w:ascii="Tahoma" w:hAnsi="Tahoma" w:cs="Tahoma"/>
          <w:sz w:val="20"/>
          <w:szCs w:val="20"/>
        </w:rPr>
        <w:t>s</w:t>
      </w:r>
      <w:r w:rsidRPr="00786545">
        <w:rPr>
          <w:rFonts w:ascii="Tahoma" w:hAnsi="Tahoma" w:cs="Tahoma"/>
          <w:sz w:val="20"/>
          <w:szCs w:val="20"/>
        </w:rPr>
        <w:t xml:space="preserve"> below</w:t>
      </w:r>
      <w:r>
        <w:rPr>
          <w:rFonts w:ascii="Tahoma" w:hAnsi="Tahoma" w:cs="Tahoma"/>
          <w:sz w:val="20"/>
          <w:szCs w:val="20"/>
        </w:rPr>
        <w:t xml:space="preserve"> illustrate the actives available for liver fluke control </w:t>
      </w:r>
      <w:r w:rsidR="004F1967">
        <w:rPr>
          <w:rFonts w:ascii="Tahoma" w:hAnsi="Tahoma" w:cs="Tahoma"/>
          <w:sz w:val="20"/>
          <w:szCs w:val="20"/>
        </w:rPr>
        <w:t xml:space="preserve">in cattle and sheep </w:t>
      </w:r>
      <w:r>
        <w:rPr>
          <w:rFonts w:ascii="Tahoma" w:hAnsi="Tahoma" w:cs="Tahoma"/>
          <w:sz w:val="20"/>
          <w:szCs w:val="20"/>
        </w:rPr>
        <w:t>and their range of activity.</w:t>
      </w:r>
    </w:p>
    <w:p w:rsidR="004F1967" w:rsidRPr="004F1967" w:rsidRDefault="004F1967">
      <w:pPr>
        <w:rPr>
          <w:rFonts w:ascii="Tahoma" w:hAnsi="Tahoma" w:cs="Tahoma"/>
          <w:b/>
        </w:rPr>
      </w:pPr>
      <w:proofErr w:type="gramStart"/>
      <w:r w:rsidRPr="004F1967">
        <w:rPr>
          <w:rFonts w:ascii="Tahoma" w:hAnsi="Tahoma" w:cs="Tahoma"/>
          <w:b/>
        </w:rPr>
        <w:t>1.SHEEP</w:t>
      </w:r>
      <w:proofErr w:type="gramEnd"/>
    </w:p>
    <w:tbl>
      <w:tblPr>
        <w:tblW w:w="8714" w:type="dxa"/>
        <w:tblInd w:w="93" w:type="dxa"/>
        <w:tblLook w:val="04A0" w:firstRow="1" w:lastRow="0" w:firstColumn="1" w:lastColumn="0" w:noHBand="0" w:noVBand="1"/>
      </w:tblPr>
      <w:tblGrid>
        <w:gridCol w:w="1672"/>
        <w:gridCol w:w="359"/>
        <w:gridCol w:w="336"/>
        <w:gridCol w:w="336"/>
        <w:gridCol w:w="331"/>
        <w:gridCol w:w="331"/>
        <w:gridCol w:w="331"/>
        <w:gridCol w:w="331"/>
        <w:gridCol w:w="331"/>
        <w:gridCol w:w="331"/>
        <w:gridCol w:w="1693"/>
        <w:gridCol w:w="583"/>
        <w:gridCol w:w="583"/>
        <w:gridCol w:w="583"/>
        <w:gridCol w:w="583"/>
      </w:tblGrid>
      <w:tr w:rsidR="00D7425F" w:rsidRPr="00D7425F" w:rsidTr="00D7425F">
        <w:trPr>
          <w:trHeight w:val="255"/>
        </w:trPr>
        <w:tc>
          <w:tcPr>
            <w:tcW w:w="1672" w:type="dxa"/>
            <w:tcBorders>
              <w:top w:val="single" w:sz="8" w:space="0" w:color="000080"/>
              <w:left w:val="nil"/>
              <w:bottom w:val="nil"/>
              <w:right w:val="nil"/>
            </w:tcBorders>
            <w:shd w:val="clear" w:color="000000" w:fill="00FFFF"/>
            <w:noWrap/>
            <w:vAlign w:val="bottom"/>
            <w:hideMark/>
          </w:tcPr>
          <w:p w:rsidR="00D7425F" w:rsidRPr="00D7425F" w:rsidRDefault="00D7425F" w:rsidP="00D7425F">
            <w:pPr>
              <w:spacing w:after="0" w:line="240" w:lineRule="auto"/>
              <w:rPr>
                <w:rFonts w:ascii="Arial" w:eastAsia="Times New Roman" w:hAnsi="Arial" w:cs="Arial"/>
                <w:sz w:val="20"/>
                <w:szCs w:val="20"/>
                <w:lang w:eastAsia="en-GB"/>
              </w:rPr>
            </w:pPr>
            <w:r w:rsidRPr="00D7425F">
              <w:rPr>
                <w:rFonts w:ascii="Arial" w:eastAsia="Times New Roman" w:hAnsi="Arial" w:cs="Arial"/>
                <w:sz w:val="20"/>
                <w:szCs w:val="20"/>
                <w:lang w:eastAsia="en-GB"/>
              </w:rPr>
              <w:t> </w:t>
            </w:r>
          </w:p>
        </w:tc>
        <w:tc>
          <w:tcPr>
            <w:tcW w:w="7042" w:type="dxa"/>
            <w:gridSpan w:val="14"/>
            <w:tcBorders>
              <w:top w:val="single" w:sz="8" w:space="0" w:color="000080"/>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sz w:val="18"/>
                <w:szCs w:val="18"/>
                <w:lang w:eastAsia="en-GB"/>
              </w:rPr>
            </w:pPr>
            <w:r w:rsidRPr="00D7425F">
              <w:rPr>
                <w:rFonts w:ascii="Arial" w:eastAsia="Times New Roman" w:hAnsi="Arial" w:cs="Arial"/>
                <w:i/>
                <w:iCs/>
                <w:sz w:val="18"/>
                <w:szCs w:val="18"/>
                <w:lang w:eastAsia="en-GB"/>
              </w:rPr>
              <w:t>Age of fluke (weeks)</w:t>
            </w:r>
          </w:p>
        </w:tc>
      </w:tr>
      <w:tr w:rsidR="00D7425F" w:rsidRPr="00D7425F" w:rsidTr="00D7425F">
        <w:trPr>
          <w:trHeight w:val="360"/>
        </w:trPr>
        <w:tc>
          <w:tcPr>
            <w:tcW w:w="1672"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rPr>
                <w:rFonts w:ascii="Arial" w:eastAsia="Times New Roman" w:hAnsi="Arial" w:cs="Arial"/>
                <w:b/>
                <w:bCs/>
                <w:color w:val="000080"/>
                <w:sz w:val="20"/>
                <w:szCs w:val="20"/>
                <w:lang w:eastAsia="en-GB"/>
              </w:rPr>
            </w:pPr>
            <w:r w:rsidRPr="00D7425F">
              <w:rPr>
                <w:rFonts w:ascii="Arial" w:eastAsia="Times New Roman" w:hAnsi="Arial" w:cs="Arial"/>
                <w:b/>
                <w:bCs/>
                <w:color w:val="000080"/>
                <w:sz w:val="20"/>
                <w:szCs w:val="20"/>
                <w:lang w:eastAsia="en-GB"/>
              </w:rPr>
              <w:t>Flukicide</w:t>
            </w:r>
          </w:p>
        </w:tc>
        <w:tc>
          <w:tcPr>
            <w:tcW w:w="359"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w:t>
            </w:r>
          </w:p>
        </w:tc>
        <w:tc>
          <w:tcPr>
            <w:tcW w:w="336"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2</w:t>
            </w:r>
          </w:p>
        </w:tc>
        <w:tc>
          <w:tcPr>
            <w:tcW w:w="336"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3</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4</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5</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6</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7</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8</w:t>
            </w:r>
          </w:p>
        </w:tc>
        <w:tc>
          <w:tcPr>
            <w:tcW w:w="331"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9</w:t>
            </w:r>
          </w:p>
        </w:tc>
        <w:tc>
          <w:tcPr>
            <w:tcW w:w="1693"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10</w:t>
            </w:r>
          </w:p>
        </w:tc>
        <w:tc>
          <w:tcPr>
            <w:tcW w:w="583"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11</w:t>
            </w:r>
          </w:p>
        </w:tc>
        <w:tc>
          <w:tcPr>
            <w:tcW w:w="583"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12</w:t>
            </w:r>
          </w:p>
        </w:tc>
        <w:tc>
          <w:tcPr>
            <w:tcW w:w="583"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13</w:t>
            </w:r>
          </w:p>
        </w:tc>
        <w:tc>
          <w:tcPr>
            <w:tcW w:w="583" w:type="dxa"/>
            <w:tcBorders>
              <w:top w:val="nil"/>
              <w:left w:val="nil"/>
              <w:bottom w:val="single" w:sz="4" w:space="0" w:color="auto"/>
              <w:right w:val="nil"/>
            </w:tcBorders>
            <w:shd w:val="clear" w:color="000000" w:fill="00FFFF"/>
            <w:noWrap/>
            <w:vAlign w:val="bottom"/>
            <w:hideMark/>
          </w:tcPr>
          <w:p w:rsidR="00D7425F" w:rsidRPr="00D7425F" w:rsidRDefault="00D7425F" w:rsidP="00D7425F">
            <w:pPr>
              <w:spacing w:after="0" w:line="240" w:lineRule="auto"/>
              <w:jc w:val="center"/>
              <w:rPr>
                <w:rFonts w:ascii="Arial" w:eastAsia="Times New Roman" w:hAnsi="Arial" w:cs="Arial"/>
                <w:i/>
                <w:iCs/>
                <w:color w:val="000080"/>
                <w:sz w:val="18"/>
                <w:szCs w:val="18"/>
                <w:lang w:eastAsia="en-GB"/>
              </w:rPr>
            </w:pPr>
            <w:r w:rsidRPr="00D7425F">
              <w:rPr>
                <w:rFonts w:ascii="Arial" w:eastAsia="Times New Roman" w:hAnsi="Arial" w:cs="Arial"/>
                <w:i/>
                <w:iCs/>
                <w:color w:val="000080"/>
                <w:sz w:val="18"/>
                <w:szCs w:val="18"/>
                <w:lang w:eastAsia="en-GB"/>
              </w:rPr>
              <w:t>14</w:t>
            </w:r>
          </w:p>
        </w:tc>
      </w:tr>
      <w:tr w:rsidR="00D7425F" w:rsidRPr="00D7425F" w:rsidTr="00D7425F">
        <w:trPr>
          <w:trHeight w:val="360"/>
        </w:trPr>
        <w:tc>
          <w:tcPr>
            <w:tcW w:w="1672"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proofErr w:type="spellStart"/>
            <w:r w:rsidRPr="00D7425F">
              <w:rPr>
                <w:rFonts w:ascii="Arial" w:eastAsia="Times New Roman" w:hAnsi="Arial" w:cs="Arial"/>
                <w:color w:val="000080"/>
                <w:sz w:val="20"/>
                <w:szCs w:val="20"/>
                <w:lang w:eastAsia="en-GB"/>
              </w:rPr>
              <w:t>Albendazole</w:t>
            </w:r>
            <w:proofErr w:type="spellEnd"/>
            <w:r w:rsidR="00864E81">
              <w:rPr>
                <w:rFonts w:ascii="Arial" w:eastAsia="Times New Roman" w:hAnsi="Arial" w:cs="Arial"/>
                <w:color w:val="000080"/>
                <w:sz w:val="20"/>
                <w:szCs w:val="20"/>
                <w:lang w:eastAsia="en-GB"/>
              </w:rPr>
              <w:t>*</w:t>
            </w:r>
          </w:p>
        </w:tc>
        <w:tc>
          <w:tcPr>
            <w:tcW w:w="359"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1693" w:type="dxa"/>
            <w:tcBorders>
              <w:top w:val="nil"/>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jc w:val="center"/>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50 - 70%</w:t>
            </w:r>
          </w:p>
        </w:tc>
        <w:tc>
          <w:tcPr>
            <w:tcW w:w="583"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 </w:t>
            </w:r>
          </w:p>
        </w:tc>
        <w:tc>
          <w:tcPr>
            <w:tcW w:w="1749" w:type="dxa"/>
            <w:gridSpan w:val="3"/>
            <w:tcBorders>
              <w:top w:val="single" w:sz="4" w:space="0" w:color="auto"/>
              <w:left w:val="single" w:sz="4" w:space="0" w:color="auto"/>
              <w:bottom w:val="nil"/>
              <w:right w:val="single" w:sz="4" w:space="0" w:color="000000"/>
            </w:tcBorders>
            <w:shd w:val="clear" w:color="000000" w:fill="FFFFFF"/>
            <w:noWrap/>
            <w:vAlign w:val="bottom"/>
            <w:hideMark/>
          </w:tcPr>
          <w:p w:rsidR="00D7425F" w:rsidRPr="00D7425F" w:rsidRDefault="00D7425F" w:rsidP="00D7425F">
            <w:pPr>
              <w:spacing w:after="0" w:line="240" w:lineRule="auto"/>
              <w:jc w:val="center"/>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80 - 99%</w:t>
            </w:r>
          </w:p>
        </w:tc>
      </w:tr>
      <w:tr w:rsidR="00D7425F" w:rsidRPr="00D7425F" w:rsidTr="00D7425F">
        <w:trPr>
          <w:trHeight w:val="360"/>
        </w:trPr>
        <w:tc>
          <w:tcPr>
            <w:tcW w:w="1672"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proofErr w:type="spellStart"/>
            <w:r w:rsidRPr="00D7425F">
              <w:rPr>
                <w:rFonts w:ascii="Arial" w:eastAsia="Times New Roman" w:hAnsi="Arial" w:cs="Arial"/>
                <w:color w:val="000080"/>
                <w:sz w:val="20"/>
                <w:szCs w:val="20"/>
                <w:lang w:eastAsia="en-GB"/>
              </w:rPr>
              <w:t>Oxyclozanide</w:t>
            </w:r>
            <w:proofErr w:type="spellEnd"/>
            <w:r w:rsidR="00864E81">
              <w:rPr>
                <w:rFonts w:ascii="Arial" w:eastAsia="Times New Roman" w:hAnsi="Arial" w:cs="Arial"/>
                <w:color w:val="000080"/>
                <w:sz w:val="20"/>
                <w:szCs w:val="20"/>
                <w:lang w:eastAsia="en-GB"/>
              </w:rPr>
              <w:t>#</w:t>
            </w:r>
          </w:p>
        </w:tc>
        <w:tc>
          <w:tcPr>
            <w:tcW w:w="359"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1693" w:type="dxa"/>
            <w:tcBorders>
              <w:top w:val="nil"/>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single" w:sz="4" w:space="0" w:color="auto"/>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single" w:sz="4" w:space="0" w:color="auto"/>
              <w:right w:val="single" w:sz="4" w:space="0" w:color="auto"/>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r>
      <w:tr w:rsidR="00D7425F" w:rsidRPr="00D7425F" w:rsidTr="00D7425F">
        <w:trPr>
          <w:trHeight w:val="360"/>
        </w:trPr>
        <w:tc>
          <w:tcPr>
            <w:tcW w:w="1672"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Nitroxynil</w:t>
            </w:r>
          </w:p>
        </w:tc>
        <w:tc>
          <w:tcPr>
            <w:tcW w:w="359"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993" w:type="dxa"/>
            <w:gridSpan w:val="3"/>
            <w:tcBorders>
              <w:top w:val="single" w:sz="4" w:space="0" w:color="auto"/>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jc w:val="center"/>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50 - 90%</w:t>
            </w:r>
          </w:p>
        </w:tc>
        <w:tc>
          <w:tcPr>
            <w:tcW w:w="4025" w:type="dxa"/>
            <w:gridSpan w:val="5"/>
            <w:tcBorders>
              <w:top w:val="single" w:sz="4" w:space="0" w:color="auto"/>
              <w:left w:val="single" w:sz="4" w:space="0" w:color="auto"/>
              <w:bottom w:val="nil"/>
              <w:right w:val="single" w:sz="4" w:space="0" w:color="000000"/>
            </w:tcBorders>
            <w:shd w:val="clear" w:color="000000" w:fill="FFFFFF"/>
            <w:noWrap/>
            <w:vAlign w:val="bottom"/>
            <w:hideMark/>
          </w:tcPr>
          <w:p w:rsidR="00D7425F" w:rsidRPr="00D7425F" w:rsidRDefault="00D7425F" w:rsidP="00D7425F">
            <w:pPr>
              <w:spacing w:after="0" w:line="240" w:lineRule="auto"/>
              <w:jc w:val="center"/>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91 - 99%</w:t>
            </w:r>
          </w:p>
        </w:tc>
      </w:tr>
      <w:tr w:rsidR="00D7425F" w:rsidRPr="00D7425F" w:rsidTr="00D7425F">
        <w:trPr>
          <w:trHeight w:val="360"/>
        </w:trPr>
        <w:tc>
          <w:tcPr>
            <w:tcW w:w="1672" w:type="dxa"/>
            <w:tcBorders>
              <w:top w:val="nil"/>
              <w:left w:val="nil"/>
              <w:bottom w:val="nil"/>
              <w:right w:val="nil"/>
            </w:tcBorders>
            <w:shd w:val="clear" w:color="000000" w:fill="FFFFFF"/>
            <w:noWrap/>
            <w:vAlign w:val="bottom"/>
            <w:hideMark/>
          </w:tcPr>
          <w:p w:rsid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Closantel</w:t>
            </w:r>
          </w:p>
          <w:p w:rsidR="00D05B31" w:rsidRPr="00D7425F" w:rsidRDefault="00D05B31" w:rsidP="00D7425F">
            <w:pPr>
              <w:spacing w:after="0" w:line="240" w:lineRule="auto"/>
              <w:rPr>
                <w:rFonts w:ascii="Arial" w:eastAsia="Times New Roman" w:hAnsi="Arial" w:cs="Arial"/>
                <w:color w:val="000080"/>
                <w:sz w:val="20"/>
                <w:szCs w:val="20"/>
                <w:lang w:eastAsia="en-GB"/>
              </w:rPr>
            </w:pPr>
          </w:p>
        </w:tc>
        <w:tc>
          <w:tcPr>
            <w:tcW w:w="359"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6"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331"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1693" w:type="dxa"/>
            <w:tcBorders>
              <w:top w:val="nil"/>
              <w:left w:val="single" w:sz="4" w:space="0" w:color="auto"/>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nil"/>
              <w:right w:val="nil"/>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c>
          <w:tcPr>
            <w:tcW w:w="583" w:type="dxa"/>
            <w:tcBorders>
              <w:top w:val="nil"/>
              <w:left w:val="nil"/>
              <w:bottom w:val="nil"/>
              <w:right w:val="single" w:sz="4" w:space="0" w:color="auto"/>
            </w:tcBorders>
            <w:shd w:val="clear" w:color="000000" w:fill="FFFFFF"/>
            <w:noWrap/>
            <w:vAlign w:val="bottom"/>
            <w:hideMark/>
          </w:tcPr>
          <w:p w:rsidR="00D7425F" w:rsidRPr="00D7425F" w:rsidRDefault="00D7425F" w:rsidP="00D7425F">
            <w:pPr>
              <w:spacing w:after="0" w:line="240" w:lineRule="auto"/>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 </w:t>
            </w:r>
          </w:p>
        </w:tc>
      </w:tr>
      <w:tr w:rsidR="00D7425F" w:rsidRPr="00D7425F" w:rsidTr="00D7425F">
        <w:trPr>
          <w:trHeight w:val="360"/>
        </w:trPr>
        <w:tc>
          <w:tcPr>
            <w:tcW w:w="2031" w:type="dxa"/>
            <w:gridSpan w:val="2"/>
            <w:tcBorders>
              <w:top w:val="nil"/>
              <w:left w:val="nil"/>
              <w:bottom w:val="single" w:sz="8" w:space="0" w:color="000080"/>
              <w:right w:val="nil"/>
            </w:tcBorders>
            <w:shd w:val="clear" w:color="000000" w:fill="FFFFFF"/>
            <w:noWrap/>
            <w:vAlign w:val="bottom"/>
            <w:hideMark/>
          </w:tcPr>
          <w:p w:rsidR="00D7425F" w:rsidRDefault="00D7425F" w:rsidP="00696624">
            <w:pPr>
              <w:spacing w:after="0" w:line="240" w:lineRule="auto"/>
              <w:jc w:val="both"/>
              <w:rPr>
                <w:rFonts w:ascii="Arial" w:eastAsia="Times New Roman" w:hAnsi="Arial" w:cs="Arial"/>
                <w:color w:val="000080"/>
                <w:sz w:val="20"/>
                <w:szCs w:val="20"/>
                <w:lang w:eastAsia="en-GB"/>
              </w:rPr>
            </w:pPr>
            <w:r w:rsidRPr="00D7425F">
              <w:rPr>
                <w:rFonts w:ascii="Arial" w:eastAsia="Times New Roman" w:hAnsi="Arial" w:cs="Arial"/>
                <w:color w:val="000080"/>
                <w:sz w:val="20"/>
                <w:szCs w:val="20"/>
                <w:lang w:eastAsia="en-GB"/>
              </w:rPr>
              <w:t>Triclabendazole</w:t>
            </w:r>
            <w:r w:rsidR="00864E81">
              <w:rPr>
                <w:rFonts w:ascii="Arial" w:eastAsia="Times New Roman" w:hAnsi="Arial" w:cs="Arial"/>
                <w:color w:val="000080"/>
                <w:sz w:val="20"/>
                <w:szCs w:val="20"/>
                <w:lang w:eastAsia="en-GB"/>
              </w:rPr>
              <w:t>*</w:t>
            </w:r>
            <w:r w:rsidRPr="00D7425F">
              <w:rPr>
                <w:rFonts w:ascii="Arial" w:eastAsia="Times New Roman" w:hAnsi="Arial" w:cs="Arial"/>
                <w:color w:val="000080"/>
                <w:sz w:val="20"/>
                <w:szCs w:val="20"/>
                <w:lang w:eastAsia="en-GB"/>
              </w:rPr>
              <w:t xml:space="preserve"> (TCB)</w:t>
            </w:r>
          </w:p>
          <w:p w:rsidR="00BD31F9" w:rsidRPr="00D7425F" w:rsidRDefault="00BD31F9" w:rsidP="00696624">
            <w:pPr>
              <w:spacing w:after="0" w:line="240" w:lineRule="auto"/>
              <w:jc w:val="both"/>
              <w:rPr>
                <w:rFonts w:ascii="Arial" w:eastAsia="Times New Roman" w:hAnsi="Arial" w:cs="Arial"/>
                <w:color w:val="000080"/>
                <w:sz w:val="20"/>
                <w:szCs w:val="20"/>
                <w:lang w:eastAsia="en-GB"/>
              </w:rPr>
            </w:pPr>
          </w:p>
        </w:tc>
        <w:tc>
          <w:tcPr>
            <w:tcW w:w="672" w:type="dxa"/>
            <w:gridSpan w:val="2"/>
            <w:tcBorders>
              <w:top w:val="single" w:sz="4" w:space="0" w:color="auto"/>
              <w:left w:val="single" w:sz="4" w:space="0" w:color="auto"/>
              <w:bottom w:val="single" w:sz="8" w:space="0" w:color="000080"/>
              <w:right w:val="nil"/>
            </w:tcBorders>
            <w:shd w:val="clear" w:color="000000" w:fill="FFFFFF"/>
            <w:noWrap/>
            <w:vAlign w:val="center"/>
            <w:hideMark/>
          </w:tcPr>
          <w:p w:rsidR="00D7425F" w:rsidRPr="00D7425F" w:rsidRDefault="00D7425F" w:rsidP="00696624">
            <w:pPr>
              <w:spacing w:after="0" w:line="240" w:lineRule="auto"/>
              <w:jc w:val="both"/>
              <w:rPr>
                <w:rFonts w:ascii="Arial" w:eastAsia="Times New Roman" w:hAnsi="Arial" w:cs="Arial"/>
                <w:color w:val="000080"/>
                <w:sz w:val="16"/>
                <w:szCs w:val="16"/>
                <w:lang w:eastAsia="en-GB"/>
              </w:rPr>
            </w:pPr>
            <w:r w:rsidRPr="00D7425F">
              <w:rPr>
                <w:rFonts w:ascii="Arial" w:eastAsia="Times New Roman" w:hAnsi="Arial" w:cs="Arial"/>
                <w:color w:val="000080"/>
                <w:sz w:val="16"/>
                <w:szCs w:val="16"/>
                <w:lang w:eastAsia="en-GB"/>
              </w:rPr>
              <w:t>90 - 99%</w:t>
            </w:r>
            <w:r w:rsidR="00786545">
              <w:rPr>
                <w:rFonts w:ascii="Arial" w:eastAsia="Times New Roman" w:hAnsi="Arial" w:cs="Arial"/>
                <w:color w:val="000080"/>
                <w:sz w:val="16"/>
                <w:szCs w:val="16"/>
                <w:lang w:eastAsia="en-GB"/>
              </w:rPr>
              <w:t xml:space="preserve"> </w:t>
            </w:r>
            <w:r w:rsidR="00786545" w:rsidRPr="00786545">
              <w:rPr>
                <w:rFonts w:ascii="Arial" w:eastAsia="Times New Roman" w:hAnsi="Arial" w:cs="Arial"/>
                <w:color w:val="000080"/>
                <w:sz w:val="16"/>
                <w:szCs w:val="16"/>
                <w:lang w:eastAsia="en-GB"/>
              </w:rPr>
              <w:t>down to 2 days of age</w:t>
            </w:r>
            <w:r w:rsidR="00786545">
              <w:rPr>
                <w:rFonts w:ascii="Arial" w:eastAsia="Times New Roman" w:hAnsi="Arial" w:cs="Arial"/>
                <w:color w:val="000080"/>
                <w:sz w:val="16"/>
                <w:szCs w:val="16"/>
                <w:lang w:eastAsia="en-GB"/>
              </w:rPr>
              <w:t xml:space="preserve"> </w:t>
            </w:r>
          </w:p>
        </w:tc>
        <w:tc>
          <w:tcPr>
            <w:tcW w:w="6011" w:type="dxa"/>
            <w:gridSpan w:val="11"/>
            <w:tcBorders>
              <w:top w:val="single" w:sz="4" w:space="0" w:color="auto"/>
              <w:left w:val="single" w:sz="4" w:space="0" w:color="auto"/>
              <w:bottom w:val="single" w:sz="8" w:space="0" w:color="000080"/>
              <w:right w:val="single" w:sz="4" w:space="0" w:color="000000"/>
            </w:tcBorders>
            <w:shd w:val="clear" w:color="000000" w:fill="FFFFFF"/>
            <w:noWrap/>
            <w:vAlign w:val="center"/>
            <w:hideMark/>
          </w:tcPr>
          <w:p w:rsidR="00D7425F" w:rsidRPr="00864E81" w:rsidRDefault="00D7425F" w:rsidP="00696624">
            <w:pPr>
              <w:pStyle w:val="ListParagraph"/>
              <w:numPr>
                <w:ilvl w:val="0"/>
                <w:numId w:val="2"/>
              </w:numPr>
              <w:spacing w:after="0" w:line="240" w:lineRule="auto"/>
              <w:jc w:val="both"/>
              <w:rPr>
                <w:rFonts w:ascii="Arial" w:eastAsia="Times New Roman" w:hAnsi="Arial" w:cs="Arial"/>
                <w:color w:val="000080"/>
                <w:sz w:val="16"/>
                <w:szCs w:val="16"/>
                <w:lang w:eastAsia="en-GB"/>
              </w:rPr>
            </w:pPr>
            <w:r w:rsidRPr="00864E81">
              <w:rPr>
                <w:rFonts w:ascii="Arial" w:eastAsia="Times New Roman" w:hAnsi="Arial" w:cs="Arial"/>
                <w:color w:val="000080"/>
                <w:sz w:val="16"/>
                <w:szCs w:val="16"/>
                <w:lang w:eastAsia="en-GB"/>
              </w:rPr>
              <w:t>- 99.9%</w:t>
            </w:r>
          </w:p>
        </w:tc>
      </w:tr>
    </w:tbl>
    <w:p w:rsidR="00864E81" w:rsidRPr="004F1967" w:rsidRDefault="00864E81" w:rsidP="00696624">
      <w:pPr>
        <w:jc w:val="both"/>
        <w:rPr>
          <w:rFonts w:ascii="Tahoma" w:hAnsi="Tahoma" w:cs="Tahoma"/>
          <w:sz w:val="18"/>
          <w:szCs w:val="18"/>
        </w:rPr>
      </w:pPr>
      <w:r>
        <w:rPr>
          <w:rFonts w:ascii="Tahoma" w:hAnsi="Tahoma" w:cs="Tahoma"/>
          <w:i/>
          <w:sz w:val="18"/>
          <w:szCs w:val="18"/>
        </w:rPr>
        <w:t>#</w:t>
      </w:r>
      <w:r w:rsidR="00CB273B" w:rsidRPr="00CB273B">
        <w:t xml:space="preserve"> </w:t>
      </w:r>
      <w:proofErr w:type="gramStart"/>
      <w:r w:rsidR="00CB273B" w:rsidRPr="00CB273B">
        <w:rPr>
          <w:rFonts w:ascii="Tahoma" w:hAnsi="Tahoma" w:cs="Tahoma"/>
          <w:i/>
          <w:sz w:val="18"/>
          <w:szCs w:val="18"/>
        </w:rPr>
        <w:t>Th</w:t>
      </w:r>
      <w:r w:rsidR="00CB273B">
        <w:rPr>
          <w:rFonts w:ascii="Tahoma" w:hAnsi="Tahoma" w:cs="Tahoma"/>
          <w:i/>
          <w:sz w:val="18"/>
          <w:szCs w:val="18"/>
        </w:rPr>
        <w:t>is</w:t>
      </w:r>
      <w:proofErr w:type="gramEnd"/>
      <w:r w:rsidR="00CB273B">
        <w:rPr>
          <w:rFonts w:ascii="Tahoma" w:hAnsi="Tahoma" w:cs="Tahoma"/>
          <w:i/>
          <w:sz w:val="18"/>
          <w:szCs w:val="18"/>
        </w:rPr>
        <w:t xml:space="preserve"> is the </w:t>
      </w:r>
      <w:r w:rsidR="00CB273B" w:rsidRPr="00CB273B">
        <w:rPr>
          <w:rFonts w:ascii="Tahoma" w:hAnsi="Tahoma" w:cs="Tahoma"/>
          <w:i/>
          <w:sz w:val="18"/>
          <w:szCs w:val="18"/>
        </w:rPr>
        <w:t>only active that will deal with rumen fluke (</w:t>
      </w:r>
      <w:proofErr w:type="spellStart"/>
      <w:r w:rsidR="00CB273B" w:rsidRPr="00CB273B">
        <w:rPr>
          <w:rFonts w:ascii="Tahoma" w:hAnsi="Tahoma" w:cs="Tahoma"/>
          <w:i/>
          <w:sz w:val="18"/>
          <w:szCs w:val="18"/>
        </w:rPr>
        <w:t>paramphistomum</w:t>
      </w:r>
      <w:proofErr w:type="spellEnd"/>
      <w:r w:rsidR="00CB273B" w:rsidRPr="00CB273B">
        <w:rPr>
          <w:rFonts w:ascii="Tahoma" w:hAnsi="Tahoma" w:cs="Tahoma"/>
          <w:i/>
          <w:sz w:val="18"/>
          <w:szCs w:val="18"/>
        </w:rPr>
        <w:t xml:space="preserve">) </w:t>
      </w:r>
      <w:r w:rsidR="00CB273B">
        <w:rPr>
          <w:rFonts w:ascii="Tahoma" w:hAnsi="Tahoma" w:cs="Tahoma"/>
          <w:i/>
          <w:sz w:val="18"/>
          <w:szCs w:val="18"/>
        </w:rPr>
        <w:t xml:space="preserve">but is only </w:t>
      </w:r>
      <w:r w:rsidRPr="00864E81">
        <w:rPr>
          <w:rFonts w:ascii="Tahoma" w:hAnsi="Tahoma" w:cs="Tahoma"/>
          <w:i/>
          <w:sz w:val="18"/>
          <w:szCs w:val="18"/>
        </w:rPr>
        <w:t xml:space="preserve">available in combination with </w:t>
      </w:r>
      <w:proofErr w:type="spellStart"/>
      <w:r w:rsidR="00CB273B">
        <w:rPr>
          <w:rFonts w:ascii="Tahoma" w:hAnsi="Tahoma" w:cs="Tahoma"/>
          <w:i/>
          <w:sz w:val="18"/>
          <w:szCs w:val="18"/>
        </w:rPr>
        <w:t>levamisole</w:t>
      </w:r>
      <w:proofErr w:type="spellEnd"/>
      <w:r w:rsidR="00CB273B">
        <w:rPr>
          <w:rFonts w:ascii="Tahoma" w:hAnsi="Tahoma" w:cs="Tahoma"/>
          <w:i/>
          <w:sz w:val="18"/>
          <w:szCs w:val="18"/>
        </w:rPr>
        <w:t>.</w:t>
      </w:r>
      <w:r w:rsidR="00912284">
        <w:rPr>
          <w:rFonts w:ascii="Tahoma" w:hAnsi="Tahoma" w:cs="Tahoma"/>
          <w:i/>
          <w:sz w:val="18"/>
          <w:szCs w:val="18"/>
        </w:rPr>
        <w:t xml:space="preserve"> </w:t>
      </w:r>
    </w:p>
    <w:p w:rsidR="004C6DFA" w:rsidRPr="00F66DD8" w:rsidRDefault="00786545" w:rsidP="00696624">
      <w:pPr>
        <w:jc w:val="both"/>
        <w:rPr>
          <w:rFonts w:ascii="Tahoma" w:hAnsi="Tahoma" w:cs="Tahoma"/>
          <w:sz w:val="20"/>
          <w:szCs w:val="20"/>
        </w:rPr>
      </w:pPr>
      <w:r w:rsidRPr="004C6DFA">
        <w:rPr>
          <w:rFonts w:ascii="Tahoma" w:hAnsi="Tahoma" w:cs="Tahoma"/>
          <w:b/>
        </w:rPr>
        <w:t>Withdrawal periods</w:t>
      </w:r>
      <w:r w:rsidR="004C6DFA">
        <w:rPr>
          <w:rFonts w:ascii="Tahoma" w:hAnsi="Tahoma" w:cs="Tahoma"/>
          <w:b/>
        </w:rPr>
        <w:t xml:space="preserve"> – </w:t>
      </w:r>
      <w:r w:rsidR="004C6DFA" w:rsidRPr="00F66DD8">
        <w:rPr>
          <w:rFonts w:ascii="Tahoma" w:hAnsi="Tahoma" w:cs="Tahoma"/>
          <w:sz w:val="20"/>
          <w:szCs w:val="20"/>
        </w:rPr>
        <w:t>be aware that these</w:t>
      </w:r>
      <w:r w:rsidR="004C6DFA" w:rsidRPr="00F66DD8">
        <w:rPr>
          <w:rFonts w:ascii="Tahoma" w:hAnsi="Tahoma" w:cs="Tahoma"/>
          <w:b/>
          <w:sz w:val="20"/>
          <w:szCs w:val="20"/>
        </w:rPr>
        <w:t xml:space="preserve"> </w:t>
      </w:r>
      <w:r w:rsidR="004C6DFA" w:rsidRPr="00F66DD8">
        <w:rPr>
          <w:rFonts w:ascii="Tahoma" w:hAnsi="Tahoma" w:cs="Tahoma"/>
          <w:sz w:val="20"/>
          <w:szCs w:val="20"/>
        </w:rPr>
        <w:t>do vary considerably between different commercial products containing the same actives. This is a m</w:t>
      </w:r>
      <w:r w:rsidR="00A662AB" w:rsidRPr="00F66DD8">
        <w:rPr>
          <w:rFonts w:ascii="Tahoma" w:hAnsi="Tahoma" w:cs="Tahoma"/>
          <w:sz w:val="20"/>
          <w:szCs w:val="20"/>
        </w:rPr>
        <w:t>a</w:t>
      </w:r>
      <w:r w:rsidR="004C6DFA" w:rsidRPr="00F66DD8">
        <w:rPr>
          <w:rFonts w:ascii="Tahoma" w:hAnsi="Tahoma" w:cs="Tahoma"/>
          <w:sz w:val="20"/>
          <w:szCs w:val="20"/>
        </w:rPr>
        <w:t>jor concern because it is the combinations that generally have the least number of days making th</w:t>
      </w:r>
      <w:r w:rsidR="00A662AB" w:rsidRPr="00F66DD8">
        <w:rPr>
          <w:rFonts w:ascii="Tahoma" w:hAnsi="Tahoma" w:cs="Tahoma"/>
          <w:sz w:val="20"/>
          <w:szCs w:val="20"/>
        </w:rPr>
        <w:t>e</w:t>
      </w:r>
      <w:r w:rsidR="004C6DFA" w:rsidRPr="00F66DD8">
        <w:rPr>
          <w:rFonts w:ascii="Tahoma" w:hAnsi="Tahoma" w:cs="Tahoma"/>
          <w:sz w:val="20"/>
          <w:szCs w:val="20"/>
        </w:rPr>
        <w:t xml:space="preserve">m attractive to farmers </w:t>
      </w:r>
      <w:r w:rsidR="00551AEC" w:rsidRPr="00F66DD8">
        <w:rPr>
          <w:rFonts w:ascii="Tahoma" w:hAnsi="Tahoma" w:cs="Tahoma"/>
          <w:sz w:val="20"/>
          <w:szCs w:val="20"/>
        </w:rPr>
        <w:t xml:space="preserve">while </w:t>
      </w:r>
      <w:r w:rsidR="004C6DFA" w:rsidRPr="00F66DD8">
        <w:rPr>
          <w:rFonts w:ascii="Tahoma" w:hAnsi="Tahoma" w:cs="Tahoma"/>
          <w:sz w:val="20"/>
          <w:szCs w:val="20"/>
        </w:rPr>
        <w:t xml:space="preserve">we </w:t>
      </w:r>
      <w:r w:rsidR="00551AEC" w:rsidRPr="00F66DD8">
        <w:rPr>
          <w:rFonts w:ascii="Tahoma" w:hAnsi="Tahoma" w:cs="Tahoma"/>
          <w:sz w:val="20"/>
          <w:szCs w:val="20"/>
        </w:rPr>
        <w:t>need to encourage their use only when it is necessary to treat for both liver fluke and worms.</w:t>
      </w:r>
      <w:r w:rsidR="004C6DFA" w:rsidRPr="00F66DD8">
        <w:rPr>
          <w:rFonts w:ascii="Tahoma" w:hAnsi="Tahoma" w:cs="Tahoma"/>
          <w:sz w:val="20"/>
          <w:szCs w:val="20"/>
        </w:rPr>
        <w:t xml:space="preserve"> </w:t>
      </w:r>
    </w:p>
    <w:p w:rsidR="004065FE" w:rsidRPr="00F66DD8" w:rsidRDefault="004C6DFA" w:rsidP="00696624">
      <w:pPr>
        <w:jc w:val="both"/>
        <w:rPr>
          <w:rFonts w:ascii="Tahoma" w:hAnsi="Tahoma" w:cs="Tahoma"/>
          <w:i/>
          <w:sz w:val="20"/>
          <w:szCs w:val="20"/>
        </w:rPr>
      </w:pPr>
      <w:r w:rsidRPr="00F66DD8">
        <w:rPr>
          <w:rFonts w:ascii="Tahoma" w:hAnsi="Tahoma" w:cs="Tahoma"/>
          <w:i/>
          <w:sz w:val="20"/>
          <w:szCs w:val="20"/>
        </w:rPr>
        <w:t xml:space="preserve">See ‘Know Your Anthelmintics’ on the </w:t>
      </w:r>
      <w:r w:rsidR="00A662AB" w:rsidRPr="00F66DD8">
        <w:rPr>
          <w:rFonts w:ascii="Tahoma" w:hAnsi="Tahoma" w:cs="Tahoma"/>
          <w:i/>
          <w:sz w:val="20"/>
          <w:szCs w:val="20"/>
        </w:rPr>
        <w:t>SCOPS</w:t>
      </w:r>
      <w:r w:rsidRPr="00F66DD8">
        <w:rPr>
          <w:rFonts w:ascii="Tahoma" w:hAnsi="Tahoma" w:cs="Tahoma"/>
          <w:i/>
          <w:sz w:val="20"/>
          <w:szCs w:val="20"/>
        </w:rPr>
        <w:t xml:space="preserve"> website (</w:t>
      </w:r>
      <w:hyperlink r:id="rId8" w:history="1">
        <w:r w:rsidRPr="00F66DD8">
          <w:rPr>
            <w:rStyle w:val="Hyperlink"/>
            <w:rFonts w:ascii="Tahoma" w:hAnsi="Tahoma" w:cs="Tahoma"/>
            <w:i/>
            <w:sz w:val="20"/>
            <w:szCs w:val="20"/>
          </w:rPr>
          <w:t>www.scops.org.uk</w:t>
        </w:r>
      </w:hyperlink>
      <w:r w:rsidRPr="00F66DD8">
        <w:rPr>
          <w:rFonts w:ascii="Tahoma" w:hAnsi="Tahoma" w:cs="Tahoma"/>
          <w:i/>
          <w:sz w:val="20"/>
          <w:szCs w:val="20"/>
        </w:rPr>
        <w:t xml:space="preserve">) for meat withdrawal periods. </w:t>
      </w:r>
    </w:p>
    <w:p w:rsidR="004F1967" w:rsidRPr="004F1967" w:rsidRDefault="004F1967">
      <w:pPr>
        <w:rPr>
          <w:rFonts w:ascii="Tahoma" w:hAnsi="Tahoma" w:cs="Tahoma"/>
          <w:b/>
        </w:rPr>
      </w:pPr>
      <w:r w:rsidRPr="004F1967">
        <w:rPr>
          <w:rFonts w:ascii="Tahoma" w:hAnsi="Tahoma" w:cs="Tahoma"/>
          <w:b/>
        </w:rPr>
        <w:t>2. CATTLE</w:t>
      </w:r>
    </w:p>
    <w:tbl>
      <w:tblPr>
        <w:tblpPr w:leftFromText="180" w:rightFromText="180" w:vertAnchor="text" w:horzAnchor="margin" w:tblpX="-36" w:tblpY="6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85"/>
        <w:gridCol w:w="1276"/>
        <w:gridCol w:w="1842"/>
        <w:gridCol w:w="3010"/>
      </w:tblGrid>
      <w:tr w:rsidR="004F1967" w:rsidRPr="004F1967" w:rsidTr="00952D2C">
        <w:tc>
          <w:tcPr>
            <w:tcW w:w="1951" w:type="dxa"/>
            <w:tcBorders>
              <w:left w:val="nil"/>
              <w:bottom w:val="single" w:sz="4" w:space="0" w:color="auto"/>
              <w:right w:val="nil"/>
            </w:tcBorders>
          </w:tcPr>
          <w:p w:rsidR="004F1967" w:rsidRPr="00284E62" w:rsidRDefault="004F1967" w:rsidP="00952D2C">
            <w:pPr>
              <w:spacing w:after="0" w:line="240" w:lineRule="auto"/>
              <w:rPr>
                <w:rFonts w:ascii="Tahoma" w:eastAsia="Times New Roman" w:hAnsi="Tahoma" w:cs="Tahoma"/>
                <w:b/>
                <w:sz w:val="20"/>
                <w:szCs w:val="20"/>
                <w:highlight w:val="cyan"/>
              </w:rPr>
            </w:pPr>
            <w:r w:rsidRPr="00284E62">
              <w:rPr>
                <w:rFonts w:ascii="Tahoma" w:eastAsia="Times New Roman" w:hAnsi="Tahoma" w:cs="Tahoma"/>
                <w:b/>
                <w:sz w:val="20"/>
                <w:szCs w:val="20"/>
                <w:highlight w:val="cyan"/>
              </w:rPr>
              <w:t>Anthelmintic</w:t>
            </w:r>
          </w:p>
        </w:tc>
        <w:tc>
          <w:tcPr>
            <w:tcW w:w="4003" w:type="dxa"/>
            <w:gridSpan w:val="3"/>
            <w:tcBorders>
              <w:left w:val="nil"/>
              <w:bottom w:val="single" w:sz="4" w:space="0" w:color="auto"/>
              <w:right w:val="nil"/>
            </w:tcBorders>
          </w:tcPr>
          <w:p w:rsidR="004F1967" w:rsidRPr="00284E62" w:rsidRDefault="004F1967" w:rsidP="00952D2C">
            <w:pPr>
              <w:widowControl w:val="0"/>
              <w:spacing w:after="0" w:line="240" w:lineRule="auto"/>
              <w:jc w:val="center"/>
              <w:rPr>
                <w:rFonts w:ascii="Tahoma" w:eastAsia="Times New Roman" w:hAnsi="Tahoma" w:cs="Tahoma"/>
                <w:b/>
                <w:snapToGrid w:val="0"/>
                <w:sz w:val="20"/>
                <w:szCs w:val="20"/>
                <w:highlight w:val="cyan"/>
              </w:rPr>
            </w:pPr>
            <w:r w:rsidRPr="00284E62">
              <w:rPr>
                <w:rFonts w:ascii="Tahoma" w:eastAsia="Times New Roman" w:hAnsi="Tahoma" w:cs="Tahoma"/>
                <w:b/>
                <w:snapToGrid w:val="0"/>
                <w:sz w:val="20"/>
                <w:szCs w:val="20"/>
                <w:highlight w:val="cyan"/>
              </w:rPr>
              <w:t>Fluke Activity</w:t>
            </w:r>
          </w:p>
        </w:tc>
        <w:tc>
          <w:tcPr>
            <w:tcW w:w="3010" w:type="dxa"/>
            <w:tcBorders>
              <w:left w:val="nil"/>
              <w:bottom w:val="single" w:sz="4" w:space="0" w:color="auto"/>
            </w:tcBorders>
          </w:tcPr>
          <w:p w:rsidR="004F1967" w:rsidRPr="00284E62" w:rsidRDefault="004F1967" w:rsidP="00952D2C">
            <w:pPr>
              <w:spacing w:after="0" w:line="240" w:lineRule="auto"/>
              <w:rPr>
                <w:rFonts w:ascii="Tahoma" w:eastAsia="Times New Roman" w:hAnsi="Tahoma" w:cs="Tahoma"/>
                <w:b/>
                <w:sz w:val="20"/>
                <w:szCs w:val="20"/>
                <w:highlight w:val="cyan"/>
              </w:rPr>
            </w:pPr>
            <w:r w:rsidRPr="00284E62">
              <w:rPr>
                <w:rFonts w:ascii="Tahoma" w:eastAsia="Times New Roman" w:hAnsi="Tahoma" w:cs="Tahoma"/>
                <w:b/>
                <w:sz w:val="20"/>
                <w:szCs w:val="20"/>
                <w:highlight w:val="cyan"/>
              </w:rPr>
              <w:t>Comments</w:t>
            </w: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4F1967" w:rsidRPr="00284E62" w:rsidRDefault="004F1967" w:rsidP="00952D2C">
            <w:pPr>
              <w:spacing w:after="0" w:line="240" w:lineRule="auto"/>
              <w:rPr>
                <w:rFonts w:ascii="Tahoma" w:eastAsia="Times New Roman" w:hAnsi="Tahoma" w:cs="Tahoma"/>
                <w:sz w:val="20"/>
                <w:szCs w:val="20"/>
              </w:rPr>
            </w:pPr>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Adult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 xml:space="preserve">6-12 </w:t>
            </w:r>
            <w:proofErr w:type="spellStart"/>
            <w:r w:rsidRPr="00284E62">
              <w:rPr>
                <w:rFonts w:ascii="Tahoma" w:eastAsia="Times New Roman" w:hAnsi="Tahoma" w:cs="Tahoma"/>
                <w:sz w:val="20"/>
                <w:szCs w:val="20"/>
              </w:rPr>
              <w:t>wks</w:t>
            </w:r>
            <w:proofErr w:type="spellEnd"/>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 xml:space="preserve">1-6 </w:t>
            </w:r>
            <w:proofErr w:type="spellStart"/>
            <w:r w:rsidRPr="00284E62">
              <w:rPr>
                <w:rFonts w:ascii="Tahoma" w:eastAsia="Times New Roman" w:hAnsi="Tahoma" w:cs="Tahoma"/>
                <w:sz w:val="20"/>
                <w:szCs w:val="20"/>
              </w:rPr>
              <w:t>wks</w:t>
            </w:r>
            <w:proofErr w:type="spellEnd"/>
          </w:p>
        </w:tc>
        <w:tc>
          <w:tcPr>
            <w:tcW w:w="3010" w:type="dxa"/>
            <w:tcBorders>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51" w:type="dxa"/>
          </w:tcPr>
          <w:p w:rsidR="004F1967" w:rsidRPr="00284E62" w:rsidRDefault="004F1967" w:rsidP="00952D2C">
            <w:pPr>
              <w:spacing w:after="0" w:line="240" w:lineRule="auto"/>
              <w:rPr>
                <w:rFonts w:ascii="Tahoma" w:eastAsia="Times New Roman" w:hAnsi="Tahoma" w:cs="Tahoma"/>
                <w:sz w:val="20"/>
                <w:szCs w:val="20"/>
              </w:rPr>
            </w:pPr>
            <w:r w:rsidRPr="00284E62">
              <w:rPr>
                <w:rFonts w:ascii="Tahoma" w:eastAsia="Times New Roman" w:hAnsi="Tahoma" w:cs="Tahoma"/>
                <w:sz w:val="20"/>
                <w:szCs w:val="20"/>
              </w:rPr>
              <w:t>Closantel</w:t>
            </w:r>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vMerge w:val="restart"/>
            <w:tcBorders>
              <w:right w:val="single" w:sz="6" w:space="0" w:color="auto"/>
            </w:tcBorders>
          </w:tcPr>
          <w:p w:rsidR="004F1967" w:rsidRPr="00284E62" w:rsidRDefault="004F1967" w:rsidP="009234B0">
            <w:pPr>
              <w:spacing w:after="0" w:line="240" w:lineRule="auto"/>
              <w:rPr>
                <w:rFonts w:ascii="Tahoma" w:eastAsia="Times New Roman" w:hAnsi="Tahoma" w:cs="Tahoma"/>
                <w:sz w:val="20"/>
                <w:szCs w:val="20"/>
              </w:rPr>
            </w:pPr>
            <w:r w:rsidRPr="00284E62">
              <w:rPr>
                <w:rFonts w:ascii="Tahoma" w:eastAsia="Times New Roman" w:hAnsi="Tahoma" w:cs="Tahoma"/>
                <w:sz w:val="20"/>
                <w:szCs w:val="20"/>
              </w:rPr>
              <w:t>Some activity against tapeworms</w:t>
            </w: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51" w:type="dxa"/>
          </w:tcPr>
          <w:p w:rsidR="004F1967" w:rsidRPr="00284E62" w:rsidRDefault="004F1967" w:rsidP="00952D2C">
            <w:pPr>
              <w:spacing w:after="0" w:line="240" w:lineRule="auto"/>
              <w:rPr>
                <w:rFonts w:ascii="Tahoma" w:eastAsia="Times New Roman" w:hAnsi="Tahoma" w:cs="Tahoma"/>
                <w:sz w:val="20"/>
                <w:szCs w:val="20"/>
              </w:rPr>
            </w:pPr>
            <w:proofErr w:type="spellStart"/>
            <w:r w:rsidRPr="00284E62">
              <w:rPr>
                <w:rFonts w:ascii="Tahoma" w:eastAsia="Times New Roman" w:hAnsi="Tahoma" w:cs="Tahoma"/>
                <w:sz w:val="20"/>
                <w:szCs w:val="20"/>
              </w:rPr>
              <w:t>Oxyclozanide</w:t>
            </w:r>
            <w:proofErr w:type="spellEnd"/>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vMerge/>
            <w:tcBorders>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4F1967" w:rsidRPr="00284E62" w:rsidRDefault="004F1967" w:rsidP="00952D2C">
            <w:pPr>
              <w:spacing w:after="0" w:line="240" w:lineRule="auto"/>
              <w:rPr>
                <w:rFonts w:ascii="Tahoma" w:eastAsia="Times New Roman" w:hAnsi="Tahoma" w:cs="Tahoma"/>
                <w:sz w:val="20"/>
                <w:szCs w:val="20"/>
              </w:rPr>
            </w:pPr>
            <w:r w:rsidRPr="00284E62">
              <w:rPr>
                <w:rFonts w:ascii="Tahoma" w:eastAsia="Times New Roman" w:hAnsi="Tahoma" w:cs="Tahoma"/>
                <w:sz w:val="20"/>
                <w:szCs w:val="20"/>
              </w:rPr>
              <w:t>Nitroxynil#</w:t>
            </w:r>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tcBorders>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r w:rsidRPr="00284E62">
              <w:rPr>
                <w:rFonts w:ascii="Tahoma" w:eastAsia="Times New Roman" w:hAnsi="Tahoma" w:cs="Tahoma"/>
                <w:sz w:val="20"/>
                <w:szCs w:val="20"/>
              </w:rPr>
              <w:t xml:space="preserve">Also active against blood </w:t>
            </w:r>
            <w:r w:rsidR="009234B0">
              <w:rPr>
                <w:rFonts w:ascii="Tahoma" w:eastAsia="Times New Roman" w:hAnsi="Tahoma" w:cs="Tahoma"/>
                <w:sz w:val="20"/>
                <w:szCs w:val="20"/>
              </w:rPr>
              <w:t xml:space="preserve">feeding </w:t>
            </w:r>
            <w:r w:rsidRPr="00284E62">
              <w:rPr>
                <w:rFonts w:ascii="Tahoma" w:eastAsia="Times New Roman" w:hAnsi="Tahoma" w:cs="Tahoma"/>
                <w:sz w:val="20"/>
                <w:szCs w:val="20"/>
              </w:rPr>
              <w:t>nematodes</w:t>
            </w: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4F1967" w:rsidRPr="00284E62" w:rsidRDefault="004F1967" w:rsidP="00952D2C">
            <w:pPr>
              <w:spacing w:after="0" w:line="240" w:lineRule="auto"/>
              <w:rPr>
                <w:rFonts w:ascii="Tahoma" w:eastAsia="Times New Roman" w:hAnsi="Tahoma" w:cs="Tahoma"/>
                <w:sz w:val="20"/>
                <w:szCs w:val="20"/>
              </w:rPr>
            </w:pPr>
            <w:proofErr w:type="spellStart"/>
            <w:r w:rsidRPr="00284E62">
              <w:rPr>
                <w:rFonts w:ascii="Tahoma" w:eastAsia="Times New Roman" w:hAnsi="Tahoma" w:cs="Tahoma"/>
                <w:sz w:val="20"/>
                <w:szCs w:val="20"/>
              </w:rPr>
              <w:t>Albendazole</w:t>
            </w:r>
            <w:proofErr w:type="spellEnd"/>
            <w:r w:rsidRPr="00284E62">
              <w:rPr>
                <w:rFonts w:ascii="Tahoma" w:eastAsia="Times New Roman" w:hAnsi="Tahoma" w:cs="Tahoma"/>
                <w:sz w:val="20"/>
                <w:szCs w:val="20"/>
              </w:rPr>
              <w:t>*</w:t>
            </w:r>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tcBorders>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r w:rsidRPr="00284E62">
              <w:rPr>
                <w:rFonts w:ascii="Tahoma" w:eastAsia="Times New Roman" w:hAnsi="Tahoma" w:cs="Tahoma"/>
                <w:sz w:val="20"/>
                <w:szCs w:val="20"/>
              </w:rPr>
              <w:t>Also active against nematodes and tapeworms</w:t>
            </w: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4F1967" w:rsidRPr="00284E62" w:rsidRDefault="004F1967" w:rsidP="00952D2C">
            <w:pPr>
              <w:spacing w:after="0" w:line="240" w:lineRule="auto"/>
              <w:rPr>
                <w:rFonts w:ascii="Tahoma" w:eastAsia="Times New Roman" w:hAnsi="Tahoma" w:cs="Tahoma"/>
                <w:sz w:val="20"/>
                <w:szCs w:val="20"/>
              </w:rPr>
            </w:pPr>
            <w:r w:rsidRPr="00284E62">
              <w:rPr>
                <w:rFonts w:ascii="Tahoma" w:eastAsia="Times New Roman" w:hAnsi="Tahoma" w:cs="Tahoma"/>
                <w:sz w:val="20"/>
                <w:szCs w:val="20"/>
              </w:rPr>
              <w:t>Triclabendazole</w:t>
            </w:r>
          </w:p>
        </w:tc>
        <w:tc>
          <w:tcPr>
            <w:tcW w:w="885"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tcBorders>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p>
        </w:tc>
      </w:tr>
      <w:tr w:rsidR="004F1967" w:rsidRPr="004F1967" w:rsidTr="00952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51" w:type="dxa"/>
            <w:tcBorders>
              <w:bottom w:val="single" w:sz="6" w:space="0" w:color="auto"/>
            </w:tcBorders>
          </w:tcPr>
          <w:p w:rsidR="004F1967" w:rsidRPr="00284E62" w:rsidRDefault="004F1967" w:rsidP="00952D2C">
            <w:pPr>
              <w:spacing w:after="0" w:line="240" w:lineRule="auto"/>
              <w:rPr>
                <w:rFonts w:ascii="Tahoma" w:eastAsia="Times New Roman" w:hAnsi="Tahoma" w:cs="Tahoma"/>
                <w:sz w:val="20"/>
                <w:szCs w:val="20"/>
              </w:rPr>
            </w:pPr>
            <w:proofErr w:type="spellStart"/>
            <w:r w:rsidRPr="00284E62">
              <w:rPr>
                <w:rFonts w:ascii="Tahoma" w:eastAsia="Times New Roman" w:hAnsi="Tahoma" w:cs="Tahoma"/>
                <w:sz w:val="20"/>
                <w:szCs w:val="20"/>
              </w:rPr>
              <w:t>Clorsulon</w:t>
            </w:r>
            <w:proofErr w:type="spellEnd"/>
          </w:p>
        </w:tc>
        <w:tc>
          <w:tcPr>
            <w:tcW w:w="885" w:type="dxa"/>
            <w:tcBorders>
              <w:bottom w:val="single" w:sz="6" w:space="0" w:color="auto"/>
            </w:tcBorders>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276" w:type="dxa"/>
            <w:tcBorders>
              <w:bottom w:val="single" w:sz="6" w:space="0" w:color="auto"/>
            </w:tcBorders>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1842" w:type="dxa"/>
            <w:tcBorders>
              <w:bottom w:val="single" w:sz="6" w:space="0" w:color="auto"/>
            </w:tcBorders>
          </w:tcPr>
          <w:p w:rsidR="004F1967" w:rsidRPr="00284E62" w:rsidRDefault="004F1967" w:rsidP="00952D2C">
            <w:pPr>
              <w:spacing w:after="0" w:line="240" w:lineRule="auto"/>
              <w:jc w:val="center"/>
              <w:rPr>
                <w:rFonts w:ascii="Tahoma" w:eastAsia="Times New Roman" w:hAnsi="Tahoma" w:cs="Tahoma"/>
                <w:sz w:val="20"/>
                <w:szCs w:val="20"/>
              </w:rPr>
            </w:pPr>
            <w:r w:rsidRPr="00284E62">
              <w:rPr>
                <w:rFonts w:ascii="Tahoma" w:eastAsia="Times New Roman" w:hAnsi="Tahoma" w:cs="Tahoma"/>
                <w:sz w:val="20"/>
                <w:szCs w:val="20"/>
              </w:rPr>
              <w:t>-</w:t>
            </w:r>
          </w:p>
        </w:tc>
        <w:tc>
          <w:tcPr>
            <w:tcW w:w="3010" w:type="dxa"/>
            <w:tcBorders>
              <w:bottom w:val="single" w:sz="6" w:space="0" w:color="auto"/>
              <w:right w:val="single" w:sz="6" w:space="0" w:color="auto"/>
            </w:tcBorders>
          </w:tcPr>
          <w:p w:rsidR="004F1967" w:rsidRPr="00284E62" w:rsidRDefault="004F1967" w:rsidP="00952D2C">
            <w:pPr>
              <w:spacing w:after="0" w:line="240" w:lineRule="auto"/>
              <w:rPr>
                <w:rFonts w:ascii="Tahoma" w:eastAsia="Times New Roman" w:hAnsi="Tahoma" w:cs="Tahoma"/>
                <w:sz w:val="20"/>
                <w:szCs w:val="20"/>
              </w:rPr>
            </w:pPr>
          </w:p>
        </w:tc>
      </w:tr>
    </w:tbl>
    <w:p w:rsidR="00B17555" w:rsidRPr="00F66DD8" w:rsidRDefault="00621D41" w:rsidP="00B17555">
      <w:pPr>
        <w:jc w:val="both"/>
        <w:rPr>
          <w:rFonts w:ascii="Tahoma" w:eastAsia="Calibri" w:hAnsi="Tahoma" w:cs="Tahoma"/>
          <w:i/>
          <w:sz w:val="20"/>
          <w:szCs w:val="20"/>
        </w:rPr>
      </w:pPr>
      <w:r w:rsidRPr="00F66DD8">
        <w:rPr>
          <w:rFonts w:ascii="Tahoma" w:eastAsia="Calibri" w:hAnsi="Tahoma" w:cs="Tahoma"/>
          <w:i/>
          <w:sz w:val="20"/>
          <w:szCs w:val="20"/>
        </w:rPr>
        <w:t xml:space="preserve">For more detail in cattle treatments see the </w:t>
      </w:r>
      <w:r w:rsidR="00B17555" w:rsidRPr="00F66DD8">
        <w:rPr>
          <w:rFonts w:ascii="Tahoma" w:eastAsia="Calibri" w:hAnsi="Tahoma" w:cs="Tahoma"/>
          <w:i/>
          <w:sz w:val="20"/>
          <w:szCs w:val="20"/>
        </w:rPr>
        <w:t xml:space="preserve">BRP Cattle and Sheep Parasite Control Guide on the </w:t>
      </w:r>
      <w:proofErr w:type="spellStart"/>
      <w:r w:rsidR="00B17555" w:rsidRPr="00F66DD8">
        <w:rPr>
          <w:rFonts w:ascii="Tahoma" w:eastAsia="Calibri" w:hAnsi="Tahoma" w:cs="Tahoma"/>
          <w:i/>
          <w:sz w:val="20"/>
          <w:szCs w:val="20"/>
        </w:rPr>
        <w:t>eblex</w:t>
      </w:r>
      <w:proofErr w:type="spellEnd"/>
      <w:r w:rsidR="00B17555" w:rsidRPr="00F66DD8">
        <w:rPr>
          <w:rFonts w:ascii="Tahoma" w:eastAsia="Calibri" w:hAnsi="Tahoma" w:cs="Tahoma"/>
          <w:i/>
          <w:sz w:val="20"/>
          <w:szCs w:val="20"/>
        </w:rPr>
        <w:t xml:space="preserve"> website (www.eblex.org.uk)</w:t>
      </w:r>
    </w:p>
    <w:p w:rsidR="00556ED7" w:rsidRPr="009313C8" w:rsidRDefault="00556ED7">
      <w:pPr>
        <w:rPr>
          <w:rFonts w:ascii="Tahoma" w:hAnsi="Tahoma" w:cs="Tahoma"/>
          <w:b/>
        </w:rPr>
      </w:pPr>
      <w:r w:rsidRPr="009313C8">
        <w:rPr>
          <w:rFonts w:ascii="Tahoma" w:hAnsi="Tahoma" w:cs="Tahoma"/>
          <w:b/>
        </w:rPr>
        <w:t xml:space="preserve">Dairy Cows - </w:t>
      </w:r>
    </w:p>
    <w:p w:rsidR="004F1967" w:rsidRPr="00F66DD8" w:rsidRDefault="009313C8">
      <w:pPr>
        <w:rPr>
          <w:rFonts w:ascii="Tahoma" w:hAnsi="Tahoma" w:cs="Tahoma"/>
          <w:sz w:val="20"/>
          <w:szCs w:val="20"/>
        </w:rPr>
      </w:pPr>
      <w:r w:rsidRPr="00F66DD8">
        <w:rPr>
          <w:rFonts w:ascii="Tahoma" w:hAnsi="Tahoma" w:cs="Tahoma"/>
          <w:sz w:val="20"/>
          <w:szCs w:val="20"/>
        </w:rPr>
        <w:t>L</w:t>
      </w:r>
      <w:r w:rsidR="00E12B64" w:rsidRPr="00F66DD8">
        <w:rPr>
          <w:rFonts w:ascii="Tahoma" w:hAnsi="Tahoma" w:cs="Tahoma"/>
          <w:sz w:val="20"/>
          <w:szCs w:val="20"/>
        </w:rPr>
        <w:t xml:space="preserve">imited </w:t>
      </w:r>
      <w:proofErr w:type="gramStart"/>
      <w:r w:rsidR="00E12B64" w:rsidRPr="00F66DD8">
        <w:rPr>
          <w:rFonts w:ascii="Tahoma" w:hAnsi="Tahoma" w:cs="Tahoma"/>
          <w:sz w:val="20"/>
          <w:szCs w:val="20"/>
        </w:rPr>
        <w:t>treatment</w:t>
      </w:r>
      <w:proofErr w:type="gramEnd"/>
      <w:r w:rsidR="00E12B64" w:rsidRPr="00F66DD8">
        <w:rPr>
          <w:rFonts w:ascii="Tahoma" w:hAnsi="Tahoma" w:cs="Tahoma"/>
          <w:sz w:val="20"/>
          <w:szCs w:val="20"/>
        </w:rPr>
        <w:t xml:space="preserve"> options</w:t>
      </w:r>
      <w:r w:rsidR="002146F8">
        <w:rPr>
          <w:rFonts w:ascii="Tahoma" w:hAnsi="Tahoma" w:cs="Tahoma"/>
          <w:sz w:val="20"/>
          <w:szCs w:val="20"/>
        </w:rPr>
        <w:t xml:space="preserve"> </w:t>
      </w:r>
      <w:r w:rsidRPr="00F66DD8">
        <w:rPr>
          <w:rFonts w:ascii="Tahoma" w:hAnsi="Tahoma" w:cs="Tahoma"/>
          <w:sz w:val="20"/>
          <w:szCs w:val="20"/>
        </w:rPr>
        <w:t xml:space="preserve">are available </w:t>
      </w:r>
      <w:r w:rsidR="00E12B64" w:rsidRPr="00F66DD8">
        <w:rPr>
          <w:rFonts w:ascii="Tahoma" w:hAnsi="Tahoma" w:cs="Tahoma"/>
          <w:sz w:val="20"/>
          <w:szCs w:val="20"/>
        </w:rPr>
        <w:t xml:space="preserve">due to the milk withhold times </w:t>
      </w:r>
      <w:r w:rsidRPr="00F66DD8">
        <w:rPr>
          <w:rFonts w:ascii="Tahoma" w:hAnsi="Tahoma" w:cs="Tahoma"/>
          <w:sz w:val="20"/>
          <w:szCs w:val="20"/>
        </w:rPr>
        <w:t>and/</w:t>
      </w:r>
      <w:r w:rsidR="00E12B64" w:rsidRPr="00F66DD8">
        <w:rPr>
          <w:rFonts w:ascii="Tahoma" w:hAnsi="Tahoma" w:cs="Tahoma"/>
          <w:sz w:val="20"/>
          <w:szCs w:val="20"/>
        </w:rPr>
        <w:t>or restricted use in cows intended to be used to produce milk for human consumption</w:t>
      </w:r>
      <w:r w:rsidRPr="00F66DD8">
        <w:rPr>
          <w:rFonts w:ascii="Tahoma" w:hAnsi="Tahoma" w:cs="Tahoma"/>
          <w:sz w:val="20"/>
          <w:szCs w:val="20"/>
        </w:rPr>
        <w:t>. Check data sheets</w:t>
      </w:r>
      <w:r w:rsidR="001854AB">
        <w:rPr>
          <w:rFonts w:ascii="Tahoma" w:hAnsi="Tahoma" w:cs="Tahoma"/>
          <w:sz w:val="20"/>
          <w:szCs w:val="20"/>
        </w:rPr>
        <w:t xml:space="preserve"> carefully</w:t>
      </w:r>
      <w:r w:rsidR="002146F8">
        <w:rPr>
          <w:rFonts w:ascii="Tahoma" w:hAnsi="Tahoma" w:cs="Tahoma"/>
          <w:sz w:val="20"/>
          <w:szCs w:val="20"/>
        </w:rPr>
        <w:t>.</w:t>
      </w:r>
    </w:p>
    <w:p w:rsidR="004F1967" w:rsidRDefault="004F1967" w:rsidP="009C787D">
      <w:pPr>
        <w:rPr>
          <w:rFonts w:ascii="Tahoma" w:hAnsi="Tahoma" w:cs="Tahoma"/>
          <w:b/>
          <w:sz w:val="24"/>
          <w:szCs w:val="24"/>
        </w:rPr>
      </w:pPr>
    </w:p>
    <w:p w:rsidR="004F1967" w:rsidRDefault="004F1967" w:rsidP="009C787D">
      <w:pPr>
        <w:rPr>
          <w:rFonts w:ascii="Tahoma" w:hAnsi="Tahoma" w:cs="Tahoma"/>
          <w:b/>
          <w:sz w:val="24"/>
          <w:szCs w:val="24"/>
        </w:rPr>
      </w:pPr>
    </w:p>
    <w:p w:rsidR="00FC4491" w:rsidRDefault="009C787D" w:rsidP="009C787D">
      <w:pPr>
        <w:rPr>
          <w:rFonts w:ascii="Tahoma" w:hAnsi="Tahoma" w:cs="Tahoma"/>
          <w:b/>
          <w:sz w:val="24"/>
          <w:szCs w:val="24"/>
        </w:rPr>
      </w:pPr>
      <w:r w:rsidRPr="00C94F1B">
        <w:rPr>
          <w:rFonts w:ascii="Tahoma" w:hAnsi="Tahoma" w:cs="Tahoma"/>
          <w:b/>
          <w:sz w:val="24"/>
          <w:szCs w:val="24"/>
        </w:rPr>
        <w:t>Treatment Options</w:t>
      </w:r>
      <w:r w:rsidR="00FC4491">
        <w:rPr>
          <w:rFonts w:ascii="Tahoma" w:hAnsi="Tahoma" w:cs="Tahoma"/>
          <w:b/>
          <w:sz w:val="24"/>
          <w:szCs w:val="24"/>
        </w:rPr>
        <w:t xml:space="preserve"> </w:t>
      </w:r>
      <w:r w:rsidR="00BF2841" w:rsidRPr="00BF2841">
        <w:rPr>
          <w:rFonts w:ascii="Tahoma" w:hAnsi="Tahoma" w:cs="Tahoma"/>
          <w:b/>
          <w:i/>
          <w:sz w:val="20"/>
          <w:szCs w:val="20"/>
        </w:rPr>
        <w:t xml:space="preserve">(NB </w:t>
      </w:r>
      <w:r w:rsidR="00BF2841">
        <w:rPr>
          <w:rFonts w:ascii="Tahoma" w:hAnsi="Tahoma" w:cs="Tahoma"/>
          <w:b/>
          <w:i/>
          <w:sz w:val="20"/>
          <w:szCs w:val="20"/>
        </w:rPr>
        <w:t>C</w:t>
      </w:r>
      <w:r w:rsidR="00BF2841" w:rsidRPr="00BF2841">
        <w:rPr>
          <w:rFonts w:ascii="Tahoma" w:hAnsi="Tahoma" w:cs="Tahoma"/>
          <w:b/>
          <w:i/>
          <w:sz w:val="20"/>
          <w:szCs w:val="20"/>
        </w:rPr>
        <w:t xml:space="preserve">heck data sheets </w:t>
      </w:r>
      <w:r w:rsidR="00BF2841">
        <w:rPr>
          <w:rFonts w:ascii="Tahoma" w:hAnsi="Tahoma" w:cs="Tahoma"/>
          <w:b/>
          <w:i/>
          <w:sz w:val="20"/>
          <w:szCs w:val="20"/>
        </w:rPr>
        <w:t xml:space="preserve">very </w:t>
      </w:r>
      <w:r w:rsidR="00BF2841" w:rsidRPr="00BF2841">
        <w:rPr>
          <w:rFonts w:ascii="Tahoma" w:hAnsi="Tahoma" w:cs="Tahoma"/>
          <w:b/>
          <w:i/>
          <w:sz w:val="20"/>
          <w:szCs w:val="20"/>
        </w:rPr>
        <w:t>carefully</w:t>
      </w:r>
      <w:r w:rsidR="00BF2841">
        <w:rPr>
          <w:rFonts w:ascii="Tahoma" w:hAnsi="Tahoma" w:cs="Tahoma"/>
          <w:b/>
          <w:i/>
          <w:sz w:val="20"/>
          <w:szCs w:val="20"/>
        </w:rPr>
        <w:t>. Th</w:t>
      </w:r>
      <w:r w:rsidR="00BF2841" w:rsidRPr="00BF2841">
        <w:rPr>
          <w:rFonts w:ascii="Tahoma" w:hAnsi="Tahoma" w:cs="Tahoma"/>
          <w:b/>
          <w:i/>
          <w:sz w:val="20"/>
          <w:szCs w:val="20"/>
        </w:rPr>
        <w:t xml:space="preserve">ere are </w:t>
      </w:r>
      <w:r w:rsidR="00BF2841">
        <w:rPr>
          <w:rFonts w:ascii="Tahoma" w:hAnsi="Tahoma" w:cs="Tahoma"/>
          <w:b/>
          <w:i/>
          <w:sz w:val="20"/>
          <w:szCs w:val="20"/>
        </w:rPr>
        <w:t xml:space="preserve">significant </w:t>
      </w:r>
      <w:r w:rsidR="00BF2841" w:rsidRPr="00BF2841">
        <w:rPr>
          <w:rFonts w:ascii="Tahoma" w:hAnsi="Tahoma" w:cs="Tahoma"/>
          <w:b/>
          <w:i/>
          <w:sz w:val="20"/>
          <w:szCs w:val="20"/>
        </w:rPr>
        <w:t xml:space="preserve">variations in activity between </w:t>
      </w:r>
      <w:proofErr w:type="gramStart"/>
      <w:r w:rsidR="00BF2841" w:rsidRPr="00BF2841">
        <w:rPr>
          <w:rFonts w:ascii="Tahoma" w:hAnsi="Tahoma" w:cs="Tahoma"/>
          <w:b/>
          <w:i/>
          <w:sz w:val="20"/>
          <w:szCs w:val="20"/>
        </w:rPr>
        <w:t>products</w:t>
      </w:r>
      <w:r w:rsidR="00BF2841">
        <w:rPr>
          <w:rFonts w:ascii="Tahoma" w:hAnsi="Tahoma" w:cs="Tahoma"/>
          <w:b/>
          <w:i/>
          <w:sz w:val="20"/>
          <w:szCs w:val="20"/>
        </w:rPr>
        <w:t xml:space="preserve"> </w:t>
      </w:r>
      <w:r w:rsidR="00BF2841" w:rsidRPr="00BF2841">
        <w:rPr>
          <w:rFonts w:ascii="Tahoma" w:hAnsi="Tahoma" w:cs="Tahoma"/>
          <w:b/>
          <w:i/>
          <w:sz w:val="20"/>
          <w:szCs w:val="20"/>
        </w:rPr>
        <w:t xml:space="preserve"> and</w:t>
      </w:r>
      <w:proofErr w:type="gramEnd"/>
      <w:r w:rsidR="00BF2841" w:rsidRPr="00BF2841">
        <w:rPr>
          <w:rFonts w:ascii="Tahoma" w:hAnsi="Tahoma" w:cs="Tahoma"/>
          <w:b/>
          <w:i/>
          <w:sz w:val="20"/>
          <w:szCs w:val="20"/>
        </w:rPr>
        <w:t xml:space="preserve"> between sheep and cattle</w:t>
      </w:r>
      <w:r w:rsidR="00BF2841" w:rsidRPr="00BF2841">
        <w:rPr>
          <w:rFonts w:ascii="Tahoma" w:hAnsi="Tahoma" w:cs="Tahoma"/>
          <w:b/>
          <w:sz w:val="20"/>
          <w:szCs w:val="20"/>
        </w:rPr>
        <w:t>)</w:t>
      </w:r>
    </w:p>
    <w:p w:rsidR="00971B73" w:rsidRPr="00F66DD8" w:rsidRDefault="009C787D" w:rsidP="00696624">
      <w:pPr>
        <w:jc w:val="both"/>
        <w:rPr>
          <w:rFonts w:ascii="Tahoma" w:hAnsi="Tahoma" w:cs="Tahoma"/>
          <w:sz w:val="20"/>
          <w:szCs w:val="20"/>
        </w:rPr>
      </w:pPr>
      <w:r w:rsidRPr="00F66DD8">
        <w:rPr>
          <w:rFonts w:ascii="Tahoma" w:hAnsi="Tahoma" w:cs="Tahoma"/>
          <w:sz w:val="20"/>
          <w:szCs w:val="20"/>
        </w:rPr>
        <w:t xml:space="preserve">Triclabendazole (TCBZ) is the only active capable of killing the majority of immature fluke (down to 2 days </w:t>
      </w:r>
      <w:r w:rsidR="000547B4" w:rsidRPr="00F66DD8">
        <w:rPr>
          <w:rFonts w:ascii="Tahoma" w:hAnsi="Tahoma" w:cs="Tahoma"/>
          <w:sz w:val="20"/>
          <w:szCs w:val="20"/>
        </w:rPr>
        <w:t>old sheep; 2 weeks old in cattle</w:t>
      </w:r>
      <w:r w:rsidR="00971B73" w:rsidRPr="00F66DD8">
        <w:rPr>
          <w:rFonts w:ascii="Tahoma" w:hAnsi="Tahoma" w:cs="Tahoma"/>
          <w:sz w:val="20"/>
          <w:szCs w:val="20"/>
        </w:rPr>
        <w:t>)</w:t>
      </w:r>
      <w:r w:rsidRPr="00F66DD8">
        <w:rPr>
          <w:rFonts w:ascii="Tahoma" w:hAnsi="Tahoma" w:cs="Tahoma"/>
          <w:sz w:val="20"/>
          <w:szCs w:val="20"/>
        </w:rPr>
        <w:t xml:space="preserve">. This makes it the drug of choice for autumn treatments unless there is evidence of resistance. </w:t>
      </w:r>
    </w:p>
    <w:p w:rsidR="009C787D" w:rsidRPr="00F66DD8" w:rsidRDefault="009C787D" w:rsidP="00696624">
      <w:pPr>
        <w:jc w:val="both"/>
        <w:rPr>
          <w:rFonts w:ascii="Tahoma" w:hAnsi="Tahoma" w:cs="Tahoma"/>
          <w:sz w:val="20"/>
          <w:szCs w:val="20"/>
        </w:rPr>
      </w:pPr>
      <w:r w:rsidRPr="00F66DD8">
        <w:rPr>
          <w:rFonts w:ascii="Tahoma" w:hAnsi="Tahoma" w:cs="Tahoma"/>
          <w:sz w:val="20"/>
          <w:szCs w:val="20"/>
        </w:rPr>
        <w:t>Closantel will kill fluke over 5 weeks of age</w:t>
      </w:r>
      <w:r w:rsidR="00C06B09" w:rsidRPr="00F66DD8">
        <w:rPr>
          <w:rFonts w:ascii="Tahoma" w:hAnsi="Tahoma" w:cs="Tahoma"/>
          <w:sz w:val="20"/>
          <w:szCs w:val="20"/>
        </w:rPr>
        <w:t xml:space="preserve"> in sheep</w:t>
      </w:r>
      <w:r w:rsidRPr="00F66DD8">
        <w:rPr>
          <w:rFonts w:ascii="Tahoma" w:hAnsi="Tahoma" w:cs="Tahoma"/>
          <w:sz w:val="20"/>
          <w:szCs w:val="20"/>
        </w:rPr>
        <w:t xml:space="preserve">. If used as an alternative to TCBZ then two treatments will be required at an interval of </w:t>
      </w:r>
      <w:r w:rsidR="00C06B09" w:rsidRPr="00F66DD8">
        <w:rPr>
          <w:rFonts w:ascii="Tahoma" w:hAnsi="Tahoma" w:cs="Tahoma"/>
          <w:sz w:val="20"/>
          <w:szCs w:val="20"/>
        </w:rPr>
        <w:t xml:space="preserve">10-12 </w:t>
      </w:r>
      <w:r w:rsidRPr="00F66DD8">
        <w:rPr>
          <w:rFonts w:ascii="Tahoma" w:hAnsi="Tahoma" w:cs="Tahoma"/>
          <w:sz w:val="20"/>
          <w:szCs w:val="20"/>
        </w:rPr>
        <w:t>weeks</w:t>
      </w:r>
      <w:r w:rsidR="00C06B09" w:rsidRPr="00F66DD8">
        <w:rPr>
          <w:rFonts w:ascii="Tahoma" w:hAnsi="Tahoma" w:cs="Tahoma"/>
          <w:sz w:val="20"/>
          <w:szCs w:val="20"/>
        </w:rPr>
        <w:t xml:space="preserve"> but in high risk </w:t>
      </w:r>
      <w:proofErr w:type="gramStart"/>
      <w:r w:rsidR="00C06B09" w:rsidRPr="00F66DD8">
        <w:rPr>
          <w:rFonts w:ascii="Tahoma" w:hAnsi="Tahoma" w:cs="Tahoma"/>
          <w:sz w:val="20"/>
          <w:szCs w:val="20"/>
        </w:rPr>
        <w:t>years</w:t>
      </w:r>
      <w:proofErr w:type="gramEnd"/>
      <w:r w:rsidR="00C06B09" w:rsidRPr="00F66DD8">
        <w:rPr>
          <w:rFonts w:ascii="Tahoma" w:hAnsi="Tahoma" w:cs="Tahoma"/>
          <w:sz w:val="20"/>
          <w:szCs w:val="20"/>
        </w:rPr>
        <w:t xml:space="preserve"> re-treatment may be required after just 6 weeks.</w:t>
      </w:r>
    </w:p>
    <w:p w:rsidR="004065FE" w:rsidRPr="00F66DD8" w:rsidRDefault="009C787D" w:rsidP="00696624">
      <w:pPr>
        <w:jc w:val="both"/>
        <w:rPr>
          <w:rFonts w:ascii="Tahoma" w:hAnsi="Tahoma" w:cs="Tahoma"/>
          <w:sz w:val="20"/>
          <w:szCs w:val="20"/>
        </w:rPr>
      </w:pPr>
      <w:r w:rsidRPr="00F66DD8">
        <w:rPr>
          <w:rFonts w:ascii="Tahoma" w:hAnsi="Tahoma" w:cs="Tahoma"/>
          <w:sz w:val="20"/>
          <w:szCs w:val="20"/>
        </w:rPr>
        <w:t>Nitroxynil also required two treatments with a minimum interval of 7 weeks between them.</w:t>
      </w:r>
    </w:p>
    <w:p w:rsidR="00C94F1B" w:rsidRPr="00F66DD8" w:rsidRDefault="00C94F1B" w:rsidP="00696624">
      <w:pPr>
        <w:jc w:val="both"/>
        <w:rPr>
          <w:rFonts w:ascii="Tahoma" w:hAnsi="Tahoma" w:cs="Tahoma"/>
          <w:sz w:val="20"/>
          <w:szCs w:val="20"/>
        </w:rPr>
      </w:pPr>
      <w:r w:rsidRPr="00F66DD8">
        <w:rPr>
          <w:rFonts w:ascii="Tahoma" w:hAnsi="Tahoma" w:cs="Tahoma"/>
          <w:sz w:val="20"/>
          <w:szCs w:val="20"/>
        </w:rPr>
        <w:t>Housing can be a useful tool, particu</w:t>
      </w:r>
      <w:r w:rsidR="00EC31C0" w:rsidRPr="00F66DD8">
        <w:rPr>
          <w:rFonts w:ascii="Tahoma" w:hAnsi="Tahoma" w:cs="Tahoma"/>
          <w:sz w:val="20"/>
          <w:szCs w:val="20"/>
        </w:rPr>
        <w:t xml:space="preserve">larly for cattle. Where the risk of acute disease </w:t>
      </w:r>
      <w:r w:rsidR="00B75895" w:rsidRPr="00F66DD8">
        <w:rPr>
          <w:rFonts w:ascii="Tahoma" w:hAnsi="Tahoma" w:cs="Tahoma"/>
          <w:sz w:val="20"/>
          <w:szCs w:val="20"/>
        </w:rPr>
        <w:t xml:space="preserve">(or </w:t>
      </w:r>
      <w:proofErr w:type="gramStart"/>
      <w:r w:rsidR="00B75895" w:rsidRPr="00F66DD8">
        <w:rPr>
          <w:rFonts w:ascii="Tahoma" w:hAnsi="Tahoma" w:cs="Tahoma"/>
          <w:sz w:val="20"/>
          <w:szCs w:val="20"/>
        </w:rPr>
        <w:t>challenge )</w:t>
      </w:r>
      <w:proofErr w:type="gramEnd"/>
      <w:r w:rsidR="00B75895" w:rsidRPr="00F66DD8">
        <w:rPr>
          <w:rFonts w:ascii="Tahoma" w:hAnsi="Tahoma" w:cs="Tahoma"/>
          <w:sz w:val="20"/>
          <w:szCs w:val="20"/>
        </w:rPr>
        <w:t xml:space="preserve"> </w:t>
      </w:r>
      <w:r w:rsidR="00EC31C0" w:rsidRPr="00F66DD8">
        <w:rPr>
          <w:rFonts w:ascii="Tahoma" w:hAnsi="Tahoma" w:cs="Tahoma"/>
          <w:sz w:val="20"/>
          <w:szCs w:val="20"/>
        </w:rPr>
        <w:t>is low, delaying treatment until 6 (closantel) or 7 (nitroxynil) weeks post-housing provides an alternative to TCBZ.</w:t>
      </w:r>
      <w:r w:rsidR="00CA3690" w:rsidRPr="00F66DD8">
        <w:rPr>
          <w:rFonts w:ascii="Tahoma" w:hAnsi="Tahoma" w:cs="Tahoma"/>
          <w:sz w:val="20"/>
          <w:szCs w:val="20"/>
        </w:rPr>
        <w:t xml:space="preserve"> </w:t>
      </w:r>
      <w:proofErr w:type="spellStart"/>
      <w:r w:rsidR="00FC4491" w:rsidRPr="00F66DD8">
        <w:rPr>
          <w:rFonts w:ascii="Tahoma" w:hAnsi="Tahoma" w:cs="Tahoma"/>
          <w:sz w:val="20"/>
          <w:szCs w:val="20"/>
        </w:rPr>
        <w:t>Clo</w:t>
      </w:r>
      <w:r w:rsidR="00BF2841" w:rsidRPr="00F66DD8">
        <w:rPr>
          <w:rFonts w:ascii="Tahoma" w:hAnsi="Tahoma" w:cs="Tahoma"/>
          <w:sz w:val="20"/>
          <w:szCs w:val="20"/>
        </w:rPr>
        <w:t>rsulon</w:t>
      </w:r>
      <w:proofErr w:type="spellEnd"/>
      <w:r w:rsidR="00FC4491" w:rsidRPr="00F66DD8">
        <w:rPr>
          <w:rFonts w:ascii="Tahoma" w:hAnsi="Tahoma" w:cs="Tahoma"/>
          <w:sz w:val="20"/>
          <w:szCs w:val="20"/>
        </w:rPr>
        <w:t xml:space="preserve"> can also be used for cattle</w:t>
      </w:r>
      <w:r w:rsidR="00BF2841" w:rsidRPr="00F66DD8">
        <w:rPr>
          <w:rFonts w:ascii="Tahoma" w:hAnsi="Tahoma" w:cs="Tahoma"/>
          <w:sz w:val="20"/>
          <w:szCs w:val="20"/>
        </w:rPr>
        <w:t>.</w:t>
      </w:r>
      <w:r w:rsidR="00FC4491" w:rsidRPr="00F66DD8">
        <w:rPr>
          <w:rFonts w:ascii="Tahoma" w:hAnsi="Tahoma" w:cs="Tahoma"/>
          <w:sz w:val="20"/>
          <w:szCs w:val="20"/>
        </w:rPr>
        <w:t xml:space="preserve"> </w:t>
      </w:r>
    </w:p>
    <w:p w:rsidR="003702BD" w:rsidRPr="00F66DD8" w:rsidRDefault="003702BD" w:rsidP="00696624">
      <w:pPr>
        <w:jc w:val="both"/>
        <w:rPr>
          <w:rFonts w:ascii="Tahoma" w:hAnsi="Tahoma" w:cs="Tahoma"/>
          <w:b/>
          <w:i/>
          <w:sz w:val="20"/>
          <w:szCs w:val="20"/>
        </w:rPr>
      </w:pPr>
      <w:r w:rsidRPr="00F66DD8">
        <w:rPr>
          <w:rFonts w:ascii="Tahoma" w:hAnsi="Tahoma" w:cs="Tahoma"/>
          <w:b/>
          <w:i/>
          <w:sz w:val="20"/>
          <w:szCs w:val="20"/>
        </w:rPr>
        <w:t xml:space="preserve">In all cases, the need to move the animals to low risk grazing (or house) post-treatment is essential. Failure to do so will result in re-infection and the risk of clinical disease and the need for further treatments. </w:t>
      </w:r>
    </w:p>
    <w:p w:rsidR="00EC31C0" w:rsidRPr="00F66DD8" w:rsidRDefault="00D116D1" w:rsidP="009C787D">
      <w:pPr>
        <w:rPr>
          <w:rFonts w:ascii="Tahoma" w:hAnsi="Tahoma" w:cs="Tahoma"/>
          <w:sz w:val="20"/>
          <w:szCs w:val="20"/>
        </w:rPr>
      </w:pPr>
      <w:r>
        <w:rPr>
          <w:rFonts w:ascii="Tahoma" w:hAnsi="Tahoma" w:cs="Tahoma"/>
          <w:b/>
          <w:sz w:val="20"/>
          <w:szCs w:val="20"/>
        </w:rPr>
        <w:t>D</w:t>
      </w:r>
      <w:r w:rsidR="00EC31C0" w:rsidRPr="00F66DD8">
        <w:rPr>
          <w:rFonts w:ascii="Tahoma" w:hAnsi="Tahoma" w:cs="Tahoma"/>
          <w:b/>
          <w:sz w:val="20"/>
          <w:szCs w:val="20"/>
        </w:rPr>
        <w:t>osing</w:t>
      </w:r>
      <w:r w:rsidR="00EC31C0" w:rsidRPr="00F66DD8">
        <w:rPr>
          <w:rFonts w:ascii="Tahoma" w:hAnsi="Tahoma" w:cs="Tahoma"/>
          <w:sz w:val="20"/>
          <w:szCs w:val="20"/>
        </w:rPr>
        <w:t xml:space="preserve"> in the spring to remove egg laying adult fluke will reduce infection on the pastures later in the season. In this case an adulticide can normally be used, </w:t>
      </w:r>
      <w:proofErr w:type="gramStart"/>
      <w:r w:rsidR="00EC31C0" w:rsidRPr="00F66DD8">
        <w:rPr>
          <w:rFonts w:ascii="Tahoma" w:hAnsi="Tahoma" w:cs="Tahoma"/>
          <w:sz w:val="20"/>
          <w:szCs w:val="20"/>
        </w:rPr>
        <w:t>reserving  TCBZ</w:t>
      </w:r>
      <w:proofErr w:type="gramEnd"/>
      <w:r w:rsidR="00EC31C0" w:rsidRPr="00F66DD8">
        <w:rPr>
          <w:rFonts w:ascii="Tahoma" w:hAnsi="Tahoma" w:cs="Tahoma"/>
          <w:sz w:val="20"/>
          <w:szCs w:val="20"/>
        </w:rPr>
        <w:t xml:space="preserve"> for use in the autumn. </w:t>
      </w:r>
    </w:p>
    <w:p w:rsidR="00C94F1B" w:rsidRDefault="00C94F1B" w:rsidP="009C787D">
      <w:pPr>
        <w:rPr>
          <w:rFonts w:ascii="Tahoma" w:hAnsi="Tahoma" w:cs="Tahoma"/>
          <w:b/>
          <w:sz w:val="24"/>
          <w:szCs w:val="24"/>
        </w:rPr>
      </w:pPr>
      <w:r w:rsidRPr="00C94F1B">
        <w:rPr>
          <w:rFonts w:ascii="Tahoma" w:hAnsi="Tahoma" w:cs="Tahoma"/>
          <w:b/>
          <w:sz w:val="24"/>
          <w:szCs w:val="24"/>
        </w:rPr>
        <w:t>Management Options</w:t>
      </w:r>
      <w:r w:rsidR="00B36FB4">
        <w:rPr>
          <w:rFonts w:ascii="Tahoma" w:hAnsi="Tahoma" w:cs="Tahoma"/>
          <w:b/>
          <w:sz w:val="24"/>
          <w:szCs w:val="24"/>
        </w:rPr>
        <w:t xml:space="preserve"> and Planning </w:t>
      </w:r>
    </w:p>
    <w:p w:rsidR="006E0966" w:rsidRPr="00F66DD8" w:rsidRDefault="006E0966" w:rsidP="006046B1">
      <w:pPr>
        <w:jc w:val="both"/>
        <w:rPr>
          <w:rFonts w:ascii="Tahoma" w:hAnsi="Tahoma" w:cs="Tahoma"/>
          <w:sz w:val="20"/>
          <w:szCs w:val="20"/>
        </w:rPr>
      </w:pPr>
      <w:r w:rsidRPr="00F66DD8">
        <w:rPr>
          <w:rFonts w:ascii="Tahoma" w:hAnsi="Tahoma" w:cs="Tahoma"/>
          <w:sz w:val="20"/>
          <w:szCs w:val="20"/>
        </w:rPr>
        <w:t>Forward planning is an essential part of liver fluke control</w:t>
      </w:r>
      <w:r w:rsidR="004835AA" w:rsidRPr="00F66DD8">
        <w:rPr>
          <w:rFonts w:ascii="Tahoma" w:hAnsi="Tahoma" w:cs="Tahoma"/>
          <w:sz w:val="20"/>
          <w:szCs w:val="20"/>
        </w:rPr>
        <w:t xml:space="preserve"> because taking action early can have significant impact on the level of challenge for stock later in the year and in to the next season. </w:t>
      </w:r>
    </w:p>
    <w:p w:rsidR="006046B1" w:rsidRPr="00F66DD8" w:rsidRDefault="00FD0D6B" w:rsidP="006046B1">
      <w:pPr>
        <w:jc w:val="both"/>
        <w:rPr>
          <w:rFonts w:ascii="Tahoma" w:hAnsi="Tahoma" w:cs="Tahoma"/>
          <w:sz w:val="20"/>
          <w:szCs w:val="20"/>
        </w:rPr>
      </w:pPr>
      <w:r w:rsidRPr="00F66DD8">
        <w:rPr>
          <w:rFonts w:ascii="Tahoma" w:hAnsi="Tahoma" w:cs="Tahoma"/>
          <w:sz w:val="20"/>
          <w:szCs w:val="20"/>
        </w:rPr>
        <w:t>Identification of high risk areas and either avoiding them or fencing them off is a vital part of liver fluke control and must form an important part of flock/herd Health planning. Building up a detailed assessment of these areas and planning ahead to avoid them at peak risk periods is as important as treatment and detection.</w:t>
      </w:r>
      <w:r w:rsidR="006046B1" w:rsidRPr="00F66DD8">
        <w:rPr>
          <w:rFonts w:ascii="Tahoma" w:hAnsi="Tahoma" w:cs="Tahoma"/>
          <w:sz w:val="20"/>
          <w:szCs w:val="20"/>
        </w:rPr>
        <w:t xml:space="preserve"> Don’t forget that poaching, particularly by cattle provides a habitat for snails in areas that may not normally be considered a risk.</w:t>
      </w:r>
    </w:p>
    <w:p w:rsidR="00FD0D6B" w:rsidRPr="00F66DD8" w:rsidRDefault="006046B1" w:rsidP="006046B1">
      <w:pPr>
        <w:jc w:val="both"/>
        <w:rPr>
          <w:rFonts w:ascii="Tahoma" w:hAnsi="Tahoma" w:cs="Tahoma"/>
          <w:sz w:val="20"/>
          <w:szCs w:val="20"/>
        </w:rPr>
      </w:pPr>
      <w:r w:rsidRPr="00F66DD8">
        <w:rPr>
          <w:rFonts w:ascii="Tahoma" w:hAnsi="Tahoma" w:cs="Tahoma"/>
          <w:sz w:val="20"/>
          <w:szCs w:val="20"/>
        </w:rPr>
        <w:t>Other options include provision of water troughs as an alternative to high risk drinking spots. This is possibly more important in d</w:t>
      </w:r>
      <w:r w:rsidR="00D116D1">
        <w:rPr>
          <w:rFonts w:ascii="Tahoma" w:hAnsi="Tahoma" w:cs="Tahoma"/>
          <w:sz w:val="20"/>
          <w:szCs w:val="20"/>
        </w:rPr>
        <w:t>rier</w:t>
      </w:r>
      <w:r w:rsidRPr="00F66DD8">
        <w:rPr>
          <w:rFonts w:ascii="Tahoma" w:hAnsi="Tahoma" w:cs="Tahoma"/>
          <w:sz w:val="20"/>
          <w:szCs w:val="20"/>
        </w:rPr>
        <w:t xml:space="preserve"> years when animals congregate is these areas and therefore spend a lot of time, at high stocking density in a high risk area. </w:t>
      </w:r>
    </w:p>
    <w:p w:rsidR="00EF5E77" w:rsidRDefault="00EF5E77" w:rsidP="006046B1">
      <w:pPr>
        <w:jc w:val="both"/>
        <w:rPr>
          <w:rFonts w:ascii="Tahoma" w:hAnsi="Tahoma" w:cs="Tahoma"/>
        </w:rPr>
      </w:pPr>
    </w:p>
    <w:p w:rsidR="00071FF9" w:rsidRPr="00C94F1B" w:rsidRDefault="00071FF9" w:rsidP="00071FF9">
      <w:pPr>
        <w:rPr>
          <w:rFonts w:ascii="Tahoma" w:hAnsi="Tahoma" w:cs="Tahoma"/>
          <w:b/>
          <w:sz w:val="24"/>
          <w:szCs w:val="24"/>
        </w:rPr>
      </w:pPr>
      <w:r w:rsidRPr="00C94F1B">
        <w:rPr>
          <w:rFonts w:ascii="Tahoma" w:hAnsi="Tahoma" w:cs="Tahoma"/>
          <w:b/>
          <w:sz w:val="24"/>
          <w:szCs w:val="24"/>
        </w:rPr>
        <w:t xml:space="preserve">Triclabendazole </w:t>
      </w:r>
      <w:r w:rsidR="00EF5E77">
        <w:rPr>
          <w:rFonts w:ascii="Tahoma" w:hAnsi="Tahoma" w:cs="Tahoma"/>
          <w:b/>
          <w:sz w:val="24"/>
          <w:szCs w:val="24"/>
        </w:rPr>
        <w:t xml:space="preserve">(TCBZ) </w:t>
      </w:r>
      <w:r w:rsidRPr="00C94F1B">
        <w:rPr>
          <w:rFonts w:ascii="Tahoma" w:hAnsi="Tahoma" w:cs="Tahoma"/>
          <w:b/>
          <w:sz w:val="24"/>
          <w:szCs w:val="24"/>
        </w:rPr>
        <w:t xml:space="preserve">Resistance </w:t>
      </w:r>
    </w:p>
    <w:p w:rsidR="008C03DD" w:rsidRDefault="00071FF9" w:rsidP="00F86785">
      <w:pPr>
        <w:jc w:val="both"/>
        <w:rPr>
          <w:rFonts w:ascii="Tahoma" w:hAnsi="Tahoma" w:cs="Tahoma"/>
          <w:sz w:val="20"/>
          <w:szCs w:val="20"/>
        </w:rPr>
      </w:pPr>
      <w:r w:rsidRPr="00071FF9">
        <w:rPr>
          <w:rFonts w:ascii="Tahoma" w:hAnsi="Tahoma" w:cs="Tahoma"/>
        </w:rPr>
        <w:t xml:space="preserve">Resistance to TCBZ has had a high profile over the last couple of years and there are now </w:t>
      </w:r>
      <w:r w:rsidRPr="00F66DD8">
        <w:rPr>
          <w:rFonts w:ascii="Tahoma" w:hAnsi="Tahoma" w:cs="Tahoma"/>
          <w:sz w:val="20"/>
          <w:szCs w:val="20"/>
        </w:rPr>
        <w:t xml:space="preserve">confirmed cases in the UK. However, there is a danger that over reaction to this may create problems. For example, farmers using the wrong product type (such as the adulticide </w:t>
      </w:r>
      <w:proofErr w:type="spellStart"/>
      <w:r w:rsidRPr="00F66DD8">
        <w:rPr>
          <w:rFonts w:ascii="Tahoma" w:hAnsi="Tahoma" w:cs="Tahoma"/>
          <w:sz w:val="20"/>
          <w:szCs w:val="20"/>
        </w:rPr>
        <w:t>albendazole</w:t>
      </w:r>
      <w:proofErr w:type="spellEnd"/>
      <w:r w:rsidRPr="00F66DD8">
        <w:rPr>
          <w:rFonts w:ascii="Tahoma" w:hAnsi="Tahoma" w:cs="Tahoma"/>
          <w:sz w:val="20"/>
          <w:szCs w:val="20"/>
        </w:rPr>
        <w:t xml:space="preserve">) </w:t>
      </w:r>
    </w:p>
    <w:p w:rsidR="008C03DD" w:rsidRDefault="008C03DD" w:rsidP="00F86785">
      <w:pPr>
        <w:jc w:val="both"/>
        <w:rPr>
          <w:rFonts w:ascii="Tahoma" w:hAnsi="Tahoma" w:cs="Tahoma"/>
          <w:sz w:val="20"/>
          <w:szCs w:val="20"/>
        </w:rPr>
      </w:pPr>
    </w:p>
    <w:p w:rsidR="009C787D" w:rsidRPr="00F66DD8" w:rsidRDefault="00071FF9" w:rsidP="00F86785">
      <w:pPr>
        <w:jc w:val="both"/>
        <w:rPr>
          <w:rFonts w:ascii="Tahoma" w:hAnsi="Tahoma" w:cs="Tahoma"/>
          <w:b/>
          <w:i/>
          <w:sz w:val="20"/>
          <w:szCs w:val="20"/>
          <w:u w:val="single"/>
        </w:rPr>
      </w:pPr>
      <w:r w:rsidRPr="00F66DD8">
        <w:rPr>
          <w:rFonts w:ascii="Tahoma" w:hAnsi="Tahoma" w:cs="Tahoma"/>
          <w:sz w:val="20"/>
          <w:szCs w:val="20"/>
        </w:rPr>
        <w:t>against acute liver fluke</w:t>
      </w:r>
      <w:r w:rsidRPr="00F66DD8">
        <w:rPr>
          <w:rFonts w:ascii="Tahoma" w:hAnsi="Tahoma" w:cs="Tahoma"/>
          <w:b/>
          <w:sz w:val="20"/>
          <w:szCs w:val="20"/>
        </w:rPr>
        <w:t xml:space="preserve"> </w:t>
      </w:r>
      <w:r w:rsidRPr="00F66DD8">
        <w:rPr>
          <w:rFonts w:ascii="Tahoma" w:hAnsi="Tahoma" w:cs="Tahoma"/>
          <w:sz w:val="20"/>
          <w:szCs w:val="20"/>
        </w:rPr>
        <w:t xml:space="preserve">resulting in serious disease. The other major risk is that farmers </w:t>
      </w:r>
      <w:r w:rsidR="004B67A2" w:rsidRPr="00F66DD8">
        <w:rPr>
          <w:rFonts w:ascii="Tahoma" w:hAnsi="Tahoma" w:cs="Tahoma"/>
          <w:sz w:val="20"/>
          <w:szCs w:val="20"/>
        </w:rPr>
        <w:t>move</w:t>
      </w:r>
      <w:r w:rsidRPr="00F66DD8">
        <w:rPr>
          <w:rFonts w:ascii="Tahoma" w:hAnsi="Tahoma" w:cs="Tahoma"/>
          <w:sz w:val="20"/>
          <w:szCs w:val="20"/>
        </w:rPr>
        <w:t xml:space="preserve"> towards closantel </w:t>
      </w:r>
      <w:r w:rsidR="004B67A2" w:rsidRPr="00F66DD8">
        <w:rPr>
          <w:rFonts w:ascii="Tahoma" w:hAnsi="Tahoma" w:cs="Tahoma"/>
          <w:sz w:val="20"/>
          <w:szCs w:val="20"/>
        </w:rPr>
        <w:t xml:space="preserve">or nitroxynil </w:t>
      </w:r>
      <w:r w:rsidRPr="00F66DD8">
        <w:rPr>
          <w:rFonts w:ascii="Tahoma" w:hAnsi="Tahoma" w:cs="Tahoma"/>
          <w:sz w:val="20"/>
          <w:szCs w:val="20"/>
        </w:rPr>
        <w:t>and drive selection pressures for resistance to th</w:t>
      </w:r>
      <w:r w:rsidR="004B67A2" w:rsidRPr="00F66DD8">
        <w:rPr>
          <w:rFonts w:ascii="Tahoma" w:hAnsi="Tahoma" w:cs="Tahoma"/>
          <w:sz w:val="20"/>
          <w:szCs w:val="20"/>
        </w:rPr>
        <w:t>ese</w:t>
      </w:r>
      <w:r w:rsidRPr="00F66DD8">
        <w:rPr>
          <w:rFonts w:ascii="Tahoma" w:hAnsi="Tahoma" w:cs="Tahoma"/>
          <w:sz w:val="20"/>
          <w:szCs w:val="20"/>
        </w:rPr>
        <w:t xml:space="preserve"> chemical</w:t>
      </w:r>
      <w:r w:rsidR="004B67A2" w:rsidRPr="00F66DD8">
        <w:rPr>
          <w:rFonts w:ascii="Tahoma" w:hAnsi="Tahoma" w:cs="Tahoma"/>
          <w:sz w:val="20"/>
          <w:szCs w:val="20"/>
        </w:rPr>
        <w:t>s</w:t>
      </w:r>
      <w:r w:rsidRPr="00F66DD8">
        <w:rPr>
          <w:rFonts w:ascii="Tahoma" w:hAnsi="Tahoma" w:cs="Tahoma"/>
          <w:sz w:val="20"/>
          <w:szCs w:val="20"/>
        </w:rPr>
        <w:t xml:space="preserve">. </w:t>
      </w:r>
      <w:r w:rsidR="00EE1735" w:rsidRPr="00F66DD8">
        <w:rPr>
          <w:rFonts w:ascii="Tahoma" w:hAnsi="Tahoma" w:cs="Tahoma"/>
          <w:sz w:val="20"/>
          <w:szCs w:val="20"/>
        </w:rPr>
        <w:t>Evidence of this is already being seen,</w:t>
      </w:r>
      <w:r w:rsidRPr="00F66DD8">
        <w:rPr>
          <w:rFonts w:ascii="Tahoma" w:hAnsi="Tahoma" w:cs="Tahoma"/>
          <w:sz w:val="20"/>
          <w:szCs w:val="20"/>
        </w:rPr>
        <w:t xml:space="preserve"> for example</w:t>
      </w:r>
      <w:r w:rsidR="00EE1735" w:rsidRPr="00F66DD8">
        <w:rPr>
          <w:rFonts w:ascii="Tahoma" w:hAnsi="Tahoma" w:cs="Tahoma"/>
          <w:sz w:val="20"/>
          <w:szCs w:val="20"/>
        </w:rPr>
        <w:t xml:space="preserve"> in NI and the danger is that </w:t>
      </w:r>
      <w:r w:rsidRPr="00F66DD8">
        <w:rPr>
          <w:rFonts w:ascii="Tahoma" w:hAnsi="Tahoma" w:cs="Tahoma"/>
          <w:sz w:val="20"/>
          <w:szCs w:val="20"/>
        </w:rPr>
        <w:t xml:space="preserve">this is based on fear rather than </w:t>
      </w:r>
      <w:r w:rsidR="00EE1735" w:rsidRPr="00F66DD8">
        <w:rPr>
          <w:rFonts w:ascii="Tahoma" w:hAnsi="Tahoma" w:cs="Tahoma"/>
          <w:sz w:val="20"/>
          <w:szCs w:val="20"/>
        </w:rPr>
        <w:t xml:space="preserve">individual </w:t>
      </w:r>
      <w:r w:rsidRPr="00F66DD8">
        <w:rPr>
          <w:rFonts w:ascii="Tahoma" w:hAnsi="Tahoma" w:cs="Tahoma"/>
          <w:sz w:val="20"/>
          <w:szCs w:val="20"/>
        </w:rPr>
        <w:t xml:space="preserve">farm based information such as drench and FECRT tests.  </w:t>
      </w:r>
      <w:r w:rsidRPr="00F66DD8">
        <w:rPr>
          <w:rFonts w:ascii="Tahoma" w:hAnsi="Tahoma" w:cs="Tahoma"/>
          <w:b/>
          <w:i/>
          <w:sz w:val="20"/>
          <w:szCs w:val="20"/>
          <w:u w:val="single"/>
        </w:rPr>
        <w:t>A drench check, followed up by FECRT i</w:t>
      </w:r>
      <w:r w:rsidR="00D116D1">
        <w:rPr>
          <w:rFonts w:ascii="Tahoma" w:hAnsi="Tahoma" w:cs="Tahoma"/>
          <w:b/>
          <w:i/>
          <w:sz w:val="20"/>
          <w:szCs w:val="20"/>
          <w:u w:val="single"/>
        </w:rPr>
        <w:t>f</w:t>
      </w:r>
      <w:r w:rsidRPr="00F66DD8">
        <w:rPr>
          <w:rFonts w:ascii="Tahoma" w:hAnsi="Tahoma" w:cs="Tahoma"/>
          <w:b/>
          <w:i/>
          <w:sz w:val="20"/>
          <w:szCs w:val="20"/>
          <w:u w:val="single"/>
        </w:rPr>
        <w:t xml:space="preserve"> there is a failure, is therefore a fundamental part of the recommendations emerging from this workshop.</w:t>
      </w:r>
    </w:p>
    <w:p w:rsidR="00317BD0" w:rsidRPr="00317BD0" w:rsidRDefault="00317BD0" w:rsidP="00071FF9">
      <w:pPr>
        <w:rPr>
          <w:rFonts w:ascii="Tahoma" w:hAnsi="Tahoma" w:cs="Tahoma"/>
        </w:rPr>
      </w:pPr>
    </w:p>
    <w:p w:rsidR="004065FE" w:rsidRPr="00610E43" w:rsidRDefault="004065FE" w:rsidP="00696624">
      <w:pPr>
        <w:jc w:val="both"/>
        <w:rPr>
          <w:rFonts w:ascii="Tahoma" w:hAnsi="Tahoma" w:cs="Tahoma"/>
          <w:b/>
          <w:sz w:val="24"/>
          <w:szCs w:val="24"/>
        </w:rPr>
      </w:pPr>
      <w:r w:rsidRPr="00610E43">
        <w:rPr>
          <w:rFonts w:ascii="Tahoma" w:hAnsi="Tahoma" w:cs="Tahoma"/>
          <w:b/>
          <w:sz w:val="24"/>
          <w:szCs w:val="24"/>
        </w:rPr>
        <w:t xml:space="preserve">Treatments in Quarantine </w:t>
      </w:r>
    </w:p>
    <w:p w:rsidR="00BD31F9" w:rsidRPr="002631DE" w:rsidRDefault="00016743" w:rsidP="00696624">
      <w:pPr>
        <w:jc w:val="both"/>
        <w:rPr>
          <w:rFonts w:ascii="Tahoma" w:hAnsi="Tahoma" w:cs="Tahoma"/>
          <w:sz w:val="20"/>
          <w:szCs w:val="20"/>
        </w:rPr>
      </w:pPr>
      <w:r w:rsidRPr="002631DE">
        <w:rPr>
          <w:rFonts w:ascii="Tahoma" w:hAnsi="Tahoma" w:cs="Tahoma"/>
          <w:sz w:val="20"/>
          <w:szCs w:val="20"/>
        </w:rPr>
        <w:t xml:space="preserve">If there is a risk that the in-coming stock are from a liver fluke infected farm then they need to be treated. The choice of treatment depends on the status of the receiving </w:t>
      </w:r>
      <w:proofErr w:type="gramStart"/>
      <w:r w:rsidRPr="002631DE">
        <w:rPr>
          <w:rFonts w:ascii="Tahoma" w:hAnsi="Tahoma" w:cs="Tahoma"/>
          <w:sz w:val="20"/>
          <w:szCs w:val="20"/>
        </w:rPr>
        <w:t>farm :</w:t>
      </w:r>
      <w:proofErr w:type="gramEnd"/>
    </w:p>
    <w:p w:rsidR="00016743" w:rsidRPr="002631DE" w:rsidRDefault="00027C70" w:rsidP="00696624">
      <w:pPr>
        <w:pStyle w:val="ListParagraph"/>
        <w:numPr>
          <w:ilvl w:val="0"/>
          <w:numId w:val="4"/>
        </w:numPr>
        <w:jc w:val="both"/>
        <w:rPr>
          <w:rFonts w:ascii="Tahoma" w:hAnsi="Tahoma" w:cs="Tahoma"/>
          <w:sz w:val="20"/>
          <w:szCs w:val="20"/>
        </w:rPr>
      </w:pPr>
      <w:r w:rsidRPr="002631DE">
        <w:rPr>
          <w:rFonts w:ascii="Tahoma" w:hAnsi="Tahoma" w:cs="Tahoma"/>
          <w:sz w:val="20"/>
          <w:szCs w:val="20"/>
        </w:rPr>
        <w:t xml:space="preserve">No </w:t>
      </w:r>
      <w:r w:rsidR="00192AA3" w:rsidRPr="002631DE">
        <w:rPr>
          <w:rFonts w:ascii="Tahoma" w:hAnsi="Tahoma" w:cs="Tahoma"/>
          <w:sz w:val="20"/>
          <w:szCs w:val="20"/>
        </w:rPr>
        <w:t xml:space="preserve">liver </w:t>
      </w:r>
      <w:r w:rsidRPr="002631DE">
        <w:rPr>
          <w:rFonts w:ascii="Tahoma" w:hAnsi="Tahoma" w:cs="Tahoma"/>
          <w:sz w:val="20"/>
          <w:szCs w:val="20"/>
        </w:rPr>
        <w:t>fluke on receiving farm and minimal risk of any snail habit</w:t>
      </w:r>
      <w:r w:rsidR="004D5015" w:rsidRPr="002631DE">
        <w:rPr>
          <w:rFonts w:ascii="Tahoma" w:hAnsi="Tahoma" w:cs="Tahoma"/>
          <w:sz w:val="20"/>
          <w:szCs w:val="20"/>
        </w:rPr>
        <w:t>at</w:t>
      </w:r>
      <w:r w:rsidRPr="002631DE">
        <w:rPr>
          <w:rFonts w:ascii="Tahoma" w:hAnsi="Tahoma" w:cs="Tahoma"/>
          <w:sz w:val="20"/>
          <w:szCs w:val="20"/>
        </w:rPr>
        <w:t xml:space="preserve">s to support imported fluke means treatment is only necessary to prevent disease in the in-coming stock. </w:t>
      </w:r>
    </w:p>
    <w:p w:rsidR="00DF2699" w:rsidRPr="002631DE" w:rsidRDefault="00DF2699" w:rsidP="00696624">
      <w:pPr>
        <w:pStyle w:val="ListParagraph"/>
        <w:ind w:left="360"/>
        <w:jc w:val="both"/>
        <w:rPr>
          <w:rFonts w:ascii="Tahoma" w:hAnsi="Tahoma" w:cs="Tahoma"/>
          <w:sz w:val="20"/>
          <w:szCs w:val="20"/>
        </w:rPr>
      </w:pPr>
    </w:p>
    <w:p w:rsidR="00027C70" w:rsidRPr="002631DE" w:rsidRDefault="00192AA3" w:rsidP="00696624">
      <w:pPr>
        <w:pStyle w:val="ListParagraph"/>
        <w:numPr>
          <w:ilvl w:val="0"/>
          <w:numId w:val="4"/>
        </w:numPr>
        <w:jc w:val="both"/>
        <w:rPr>
          <w:rFonts w:ascii="Tahoma" w:hAnsi="Tahoma" w:cs="Tahoma"/>
          <w:sz w:val="20"/>
          <w:szCs w:val="20"/>
        </w:rPr>
      </w:pPr>
      <w:r w:rsidRPr="002631DE">
        <w:rPr>
          <w:rFonts w:ascii="Tahoma" w:hAnsi="Tahoma" w:cs="Tahoma"/>
          <w:sz w:val="20"/>
          <w:szCs w:val="20"/>
        </w:rPr>
        <w:t xml:space="preserve">No liver fluke on </w:t>
      </w:r>
      <w:r w:rsidR="00DD0EE7" w:rsidRPr="002631DE">
        <w:rPr>
          <w:rFonts w:ascii="Tahoma" w:hAnsi="Tahoma" w:cs="Tahoma"/>
          <w:sz w:val="20"/>
          <w:szCs w:val="20"/>
        </w:rPr>
        <w:t xml:space="preserve">the </w:t>
      </w:r>
      <w:r w:rsidRPr="002631DE">
        <w:rPr>
          <w:rFonts w:ascii="Tahoma" w:hAnsi="Tahoma" w:cs="Tahoma"/>
          <w:sz w:val="20"/>
          <w:szCs w:val="20"/>
        </w:rPr>
        <w:t>receiving farm but there is a risk that snail habit</w:t>
      </w:r>
      <w:r w:rsidR="004D5015" w:rsidRPr="002631DE">
        <w:rPr>
          <w:rFonts w:ascii="Tahoma" w:hAnsi="Tahoma" w:cs="Tahoma"/>
          <w:sz w:val="20"/>
          <w:szCs w:val="20"/>
        </w:rPr>
        <w:t>at</w:t>
      </w:r>
      <w:r w:rsidRPr="002631DE">
        <w:rPr>
          <w:rFonts w:ascii="Tahoma" w:hAnsi="Tahoma" w:cs="Tahoma"/>
          <w:sz w:val="20"/>
          <w:szCs w:val="20"/>
        </w:rPr>
        <w:t>s to support imported liver fluke are present</w:t>
      </w:r>
      <w:r w:rsidR="00DD0EE7" w:rsidRPr="002631DE">
        <w:rPr>
          <w:rFonts w:ascii="Tahoma" w:hAnsi="Tahoma" w:cs="Tahoma"/>
          <w:sz w:val="20"/>
          <w:szCs w:val="20"/>
        </w:rPr>
        <w:t>, so treatment is to avoid bringing infection on to the farm</w:t>
      </w:r>
      <w:r w:rsidRPr="002631DE">
        <w:rPr>
          <w:rFonts w:ascii="Tahoma" w:hAnsi="Tahoma" w:cs="Tahoma"/>
          <w:sz w:val="20"/>
          <w:szCs w:val="20"/>
        </w:rPr>
        <w:t>.</w:t>
      </w:r>
    </w:p>
    <w:p w:rsidR="00DF2699" w:rsidRPr="002631DE" w:rsidRDefault="00DF2699" w:rsidP="00696624">
      <w:pPr>
        <w:pStyle w:val="ListParagraph"/>
        <w:jc w:val="both"/>
        <w:rPr>
          <w:rFonts w:ascii="Tahoma" w:hAnsi="Tahoma" w:cs="Tahoma"/>
          <w:sz w:val="20"/>
          <w:szCs w:val="20"/>
        </w:rPr>
      </w:pPr>
    </w:p>
    <w:p w:rsidR="00192AA3" w:rsidRPr="002631DE" w:rsidRDefault="00192AA3" w:rsidP="00696624">
      <w:pPr>
        <w:pStyle w:val="ListParagraph"/>
        <w:numPr>
          <w:ilvl w:val="0"/>
          <w:numId w:val="4"/>
        </w:numPr>
        <w:jc w:val="both"/>
        <w:rPr>
          <w:rFonts w:ascii="Tahoma" w:hAnsi="Tahoma" w:cs="Tahoma"/>
          <w:sz w:val="20"/>
          <w:szCs w:val="20"/>
        </w:rPr>
      </w:pPr>
      <w:r w:rsidRPr="002631DE">
        <w:rPr>
          <w:rFonts w:ascii="Tahoma" w:hAnsi="Tahoma" w:cs="Tahoma"/>
          <w:sz w:val="20"/>
          <w:szCs w:val="20"/>
        </w:rPr>
        <w:t>The destination farm has a history of liver fluke so the aim is to avoid importing TCBZ resistant liver fluke</w:t>
      </w:r>
    </w:p>
    <w:p w:rsidR="00BD31F9" w:rsidRPr="002631DE" w:rsidRDefault="00DF2699" w:rsidP="00696624">
      <w:pPr>
        <w:jc w:val="both"/>
        <w:rPr>
          <w:rFonts w:ascii="Tahoma" w:hAnsi="Tahoma" w:cs="Tahoma"/>
          <w:b/>
          <w:sz w:val="20"/>
          <w:szCs w:val="20"/>
        </w:rPr>
      </w:pPr>
      <w:r w:rsidRPr="002631DE">
        <w:rPr>
          <w:rFonts w:ascii="Tahoma" w:hAnsi="Tahoma" w:cs="Tahoma"/>
          <w:b/>
          <w:sz w:val="20"/>
          <w:szCs w:val="20"/>
        </w:rPr>
        <w:t>There are three treatment options for in-coming stock:</w:t>
      </w:r>
    </w:p>
    <w:p w:rsidR="00DF2699" w:rsidRPr="002631DE" w:rsidRDefault="00DF2699" w:rsidP="00696624">
      <w:pPr>
        <w:pStyle w:val="ListParagraph"/>
        <w:numPr>
          <w:ilvl w:val="0"/>
          <w:numId w:val="5"/>
        </w:numPr>
        <w:jc w:val="both"/>
        <w:rPr>
          <w:rFonts w:ascii="Tahoma" w:hAnsi="Tahoma" w:cs="Tahoma"/>
          <w:sz w:val="20"/>
          <w:szCs w:val="20"/>
        </w:rPr>
      </w:pPr>
      <w:r w:rsidRPr="002631DE">
        <w:rPr>
          <w:rFonts w:ascii="Tahoma" w:hAnsi="Tahoma" w:cs="Tahoma"/>
          <w:b/>
          <w:sz w:val="20"/>
          <w:szCs w:val="20"/>
        </w:rPr>
        <w:t>Triclabendazole –</w:t>
      </w:r>
      <w:r w:rsidRPr="002631DE">
        <w:rPr>
          <w:rFonts w:ascii="Tahoma" w:hAnsi="Tahoma" w:cs="Tahoma"/>
          <w:sz w:val="20"/>
          <w:szCs w:val="20"/>
        </w:rPr>
        <w:t xml:space="preserve"> but this must be followed up by a drench check. </w:t>
      </w:r>
    </w:p>
    <w:p w:rsidR="00BA185A" w:rsidRPr="002631DE" w:rsidRDefault="00BA185A" w:rsidP="00696624">
      <w:pPr>
        <w:pStyle w:val="ListParagraph"/>
        <w:jc w:val="both"/>
        <w:rPr>
          <w:rFonts w:ascii="Tahoma" w:hAnsi="Tahoma" w:cs="Tahoma"/>
          <w:sz w:val="20"/>
          <w:szCs w:val="20"/>
        </w:rPr>
      </w:pPr>
      <w:r w:rsidRPr="002631DE">
        <w:rPr>
          <w:rFonts w:ascii="Tahoma" w:hAnsi="Tahoma" w:cs="Tahoma"/>
          <w:b/>
          <w:sz w:val="20"/>
          <w:szCs w:val="20"/>
        </w:rPr>
        <w:t>OR</w:t>
      </w:r>
    </w:p>
    <w:p w:rsidR="00BA185A" w:rsidRPr="002631DE" w:rsidRDefault="00BA185A" w:rsidP="00696624">
      <w:pPr>
        <w:pStyle w:val="ListParagraph"/>
        <w:numPr>
          <w:ilvl w:val="0"/>
          <w:numId w:val="5"/>
        </w:numPr>
        <w:jc w:val="both"/>
        <w:rPr>
          <w:rFonts w:ascii="Tahoma" w:hAnsi="Tahoma" w:cs="Tahoma"/>
          <w:b/>
          <w:sz w:val="20"/>
          <w:szCs w:val="20"/>
        </w:rPr>
      </w:pPr>
      <w:r w:rsidRPr="002631DE">
        <w:rPr>
          <w:rFonts w:ascii="Tahoma" w:hAnsi="Tahoma" w:cs="Tahoma"/>
          <w:b/>
          <w:sz w:val="20"/>
          <w:szCs w:val="20"/>
        </w:rPr>
        <w:t xml:space="preserve">Closantel x 2 </w:t>
      </w:r>
      <w:r w:rsidRPr="002631DE">
        <w:rPr>
          <w:rFonts w:ascii="Tahoma" w:hAnsi="Tahoma" w:cs="Tahoma"/>
          <w:sz w:val="20"/>
          <w:szCs w:val="20"/>
        </w:rPr>
        <w:t>at 6 weeks intervals, with animals grazing low risk pasture between treatments and after the second if possible.</w:t>
      </w:r>
    </w:p>
    <w:p w:rsidR="00BA185A" w:rsidRPr="002631DE" w:rsidRDefault="00BA185A" w:rsidP="00696624">
      <w:pPr>
        <w:pStyle w:val="ListParagraph"/>
        <w:jc w:val="both"/>
        <w:rPr>
          <w:rFonts w:ascii="Tahoma" w:hAnsi="Tahoma" w:cs="Tahoma"/>
          <w:b/>
          <w:sz w:val="20"/>
          <w:szCs w:val="20"/>
        </w:rPr>
      </w:pPr>
      <w:r w:rsidRPr="002631DE">
        <w:rPr>
          <w:rFonts w:ascii="Tahoma" w:hAnsi="Tahoma" w:cs="Tahoma"/>
          <w:b/>
          <w:sz w:val="20"/>
          <w:szCs w:val="20"/>
        </w:rPr>
        <w:t>OR</w:t>
      </w:r>
    </w:p>
    <w:p w:rsidR="00DF2699" w:rsidRPr="002631DE" w:rsidRDefault="00BA185A" w:rsidP="00696624">
      <w:pPr>
        <w:pStyle w:val="ListParagraph"/>
        <w:numPr>
          <w:ilvl w:val="0"/>
          <w:numId w:val="5"/>
        </w:numPr>
        <w:jc w:val="both"/>
        <w:rPr>
          <w:rFonts w:ascii="Tahoma" w:hAnsi="Tahoma" w:cs="Tahoma"/>
          <w:b/>
          <w:sz w:val="20"/>
          <w:szCs w:val="20"/>
        </w:rPr>
      </w:pPr>
      <w:r w:rsidRPr="002631DE">
        <w:rPr>
          <w:rFonts w:ascii="Tahoma" w:hAnsi="Tahoma" w:cs="Tahoma"/>
          <w:b/>
          <w:sz w:val="20"/>
          <w:szCs w:val="20"/>
        </w:rPr>
        <w:t xml:space="preserve">Animals to be housed </w:t>
      </w:r>
      <w:r w:rsidRPr="002631DE">
        <w:rPr>
          <w:rFonts w:ascii="Tahoma" w:hAnsi="Tahoma" w:cs="Tahoma"/>
          <w:sz w:val="20"/>
          <w:szCs w:val="20"/>
        </w:rPr>
        <w:t xml:space="preserve">could have </w:t>
      </w:r>
      <w:r w:rsidR="00D116D1">
        <w:rPr>
          <w:rFonts w:ascii="Tahoma" w:hAnsi="Tahoma" w:cs="Tahoma"/>
          <w:sz w:val="20"/>
          <w:szCs w:val="20"/>
        </w:rPr>
        <w:t>c</w:t>
      </w:r>
      <w:r w:rsidRPr="002631DE">
        <w:rPr>
          <w:rFonts w:ascii="Tahoma" w:hAnsi="Tahoma" w:cs="Tahoma"/>
          <w:sz w:val="20"/>
          <w:szCs w:val="20"/>
        </w:rPr>
        <w:t xml:space="preserve">losantel, nitroxynil or </w:t>
      </w:r>
      <w:proofErr w:type="spellStart"/>
      <w:r w:rsidRPr="002631DE">
        <w:rPr>
          <w:rFonts w:ascii="Tahoma" w:hAnsi="Tahoma" w:cs="Tahoma"/>
          <w:sz w:val="20"/>
          <w:szCs w:val="20"/>
        </w:rPr>
        <w:t>clo</w:t>
      </w:r>
      <w:r w:rsidR="00DD0EE7" w:rsidRPr="002631DE">
        <w:rPr>
          <w:rFonts w:ascii="Tahoma" w:hAnsi="Tahoma" w:cs="Tahoma"/>
          <w:sz w:val="20"/>
          <w:szCs w:val="20"/>
        </w:rPr>
        <w:t>rsulon</w:t>
      </w:r>
      <w:proofErr w:type="spellEnd"/>
      <w:r w:rsidR="00DD0EE7" w:rsidRPr="002631DE">
        <w:rPr>
          <w:rFonts w:ascii="Tahoma" w:hAnsi="Tahoma" w:cs="Tahoma"/>
          <w:sz w:val="20"/>
          <w:szCs w:val="20"/>
        </w:rPr>
        <w:t xml:space="preserve"> </w:t>
      </w:r>
      <w:r w:rsidRPr="002631DE">
        <w:rPr>
          <w:rFonts w:ascii="Tahoma" w:hAnsi="Tahoma" w:cs="Tahoma"/>
          <w:sz w:val="20"/>
          <w:szCs w:val="20"/>
        </w:rPr>
        <w:t>treatment(s). Delaying treatment until after housing if animals are not at risk of immediate disease will mean only one treatment is necessary.</w:t>
      </w:r>
      <w:r w:rsidRPr="002631DE">
        <w:rPr>
          <w:rFonts w:ascii="Tahoma" w:hAnsi="Tahoma" w:cs="Tahoma"/>
          <w:b/>
          <w:sz w:val="20"/>
          <w:szCs w:val="20"/>
        </w:rPr>
        <w:t xml:space="preserve">  </w:t>
      </w:r>
    </w:p>
    <w:p w:rsidR="00F66DD8" w:rsidRDefault="00F66DD8" w:rsidP="00F66DD8">
      <w:pPr>
        <w:jc w:val="both"/>
        <w:rPr>
          <w:rFonts w:ascii="Tahoma" w:hAnsi="Tahoma" w:cs="Tahoma"/>
        </w:rPr>
      </w:pPr>
    </w:p>
    <w:p w:rsidR="00610E43" w:rsidRDefault="00610E43">
      <w:pPr>
        <w:rPr>
          <w:rFonts w:ascii="Tahoma" w:hAnsi="Tahoma" w:cs="Tahoma"/>
        </w:rPr>
      </w:pPr>
      <w:r>
        <w:rPr>
          <w:rFonts w:ascii="Tahoma" w:hAnsi="Tahoma" w:cs="Tahoma"/>
        </w:rPr>
        <w:br w:type="page"/>
      </w:r>
    </w:p>
    <w:p w:rsidR="00F66DD8" w:rsidRDefault="00F66DD8" w:rsidP="00F66DD8">
      <w:pPr>
        <w:jc w:val="both"/>
        <w:rPr>
          <w:rFonts w:ascii="Tahoma" w:hAnsi="Tahoma" w:cs="Tahoma"/>
        </w:rPr>
      </w:pPr>
    </w:p>
    <w:p w:rsidR="00F66DD8" w:rsidRDefault="00F66DD8" w:rsidP="00F66DD8">
      <w:pPr>
        <w:jc w:val="both"/>
        <w:rPr>
          <w:rFonts w:ascii="Tahoma" w:hAnsi="Tahoma" w:cs="Tahoma"/>
        </w:rPr>
      </w:pPr>
    </w:p>
    <w:p w:rsidR="00F66DD8" w:rsidRDefault="00F66DD8" w:rsidP="00F66DD8">
      <w:pPr>
        <w:jc w:val="both"/>
        <w:rPr>
          <w:rFonts w:ascii="Tahoma" w:hAnsi="Tahoma" w:cs="Tahoma"/>
        </w:rPr>
      </w:pPr>
    </w:p>
    <w:p w:rsidR="00F66DD8" w:rsidRDefault="00F66DD8" w:rsidP="00F66DD8">
      <w:pPr>
        <w:jc w:val="both"/>
        <w:rPr>
          <w:rFonts w:ascii="Tahoma" w:hAnsi="Tahoma" w:cs="Tahoma"/>
        </w:rPr>
      </w:pPr>
    </w:p>
    <w:p w:rsidR="00F66DD8" w:rsidRPr="00F86785" w:rsidRDefault="00F66DD8" w:rsidP="00F66DD8">
      <w:pPr>
        <w:shd w:val="clear" w:color="auto" w:fill="EAF1DD" w:themeFill="accent3" w:themeFillTint="33"/>
        <w:jc w:val="both"/>
        <w:rPr>
          <w:rFonts w:ascii="Tahoma" w:hAnsi="Tahoma" w:cs="Tahoma"/>
          <w:b/>
          <w:sz w:val="24"/>
          <w:szCs w:val="24"/>
        </w:rPr>
      </w:pPr>
      <w:r w:rsidRPr="00F86785">
        <w:rPr>
          <w:rFonts w:ascii="Tahoma" w:hAnsi="Tahoma" w:cs="Tahoma"/>
          <w:b/>
          <w:sz w:val="24"/>
          <w:szCs w:val="24"/>
        </w:rPr>
        <w:t>SCOPS Principles</w:t>
      </w:r>
      <w:r w:rsidR="002631DE">
        <w:rPr>
          <w:rFonts w:ascii="Tahoma" w:hAnsi="Tahoma" w:cs="Tahoma"/>
          <w:b/>
          <w:sz w:val="24"/>
          <w:szCs w:val="24"/>
        </w:rPr>
        <w:t xml:space="preserve"> for Liver Fluke:</w:t>
      </w:r>
    </w:p>
    <w:p w:rsidR="00F66DD8" w:rsidRDefault="00F66DD8" w:rsidP="00F66DD8">
      <w:pPr>
        <w:shd w:val="clear" w:color="auto" w:fill="EAF1DD" w:themeFill="accent3" w:themeFillTint="33"/>
        <w:jc w:val="both"/>
        <w:rPr>
          <w:rFonts w:ascii="Tahoma" w:hAnsi="Tahoma" w:cs="Tahoma"/>
        </w:rPr>
      </w:pPr>
      <w:r w:rsidRPr="00317BD0">
        <w:rPr>
          <w:rFonts w:ascii="Tahoma" w:hAnsi="Tahoma" w:cs="Tahoma"/>
        </w:rPr>
        <w:t xml:space="preserve">There are no refugia based strategies for liver fluke </w:t>
      </w:r>
      <w:r>
        <w:rPr>
          <w:rFonts w:ascii="Tahoma" w:hAnsi="Tahoma" w:cs="Tahoma"/>
        </w:rPr>
        <w:t>which would help slow the development of anthelmintic resistance. Protecting the efficacy of the existing chemical groups must rely on the other SCOPS principles of best practice. In summary these are:</w:t>
      </w:r>
    </w:p>
    <w:p w:rsidR="00F66DD8" w:rsidRDefault="00F66DD8" w:rsidP="00F66DD8">
      <w:pPr>
        <w:pStyle w:val="ListParagraph"/>
        <w:numPr>
          <w:ilvl w:val="0"/>
          <w:numId w:val="6"/>
        </w:numPr>
        <w:shd w:val="clear" w:color="auto" w:fill="EAF1DD" w:themeFill="accent3" w:themeFillTint="33"/>
        <w:jc w:val="both"/>
        <w:rPr>
          <w:rFonts w:ascii="Tahoma" w:hAnsi="Tahoma" w:cs="Tahoma"/>
        </w:rPr>
      </w:pPr>
      <w:r w:rsidRPr="00A845C2">
        <w:rPr>
          <w:rFonts w:ascii="Tahoma" w:hAnsi="Tahoma" w:cs="Tahoma"/>
        </w:rPr>
        <w:t>Reduce dependence on chemical treatments by adopting management options</w:t>
      </w:r>
      <w:r>
        <w:rPr>
          <w:rFonts w:ascii="Tahoma" w:hAnsi="Tahoma" w:cs="Tahoma"/>
        </w:rPr>
        <w:t>.</w:t>
      </w:r>
    </w:p>
    <w:p w:rsidR="00F66DD8" w:rsidRDefault="00F66DD8" w:rsidP="00F66DD8">
      <w:pPr>
        <w:pStyle w:val="ListParagraph"/>
        <w:numPr>
          <w:ilvl w:val="0"/>
          <w:numId w:val="6"/>
        </w:numPr>
        <w:shd w:val="clear" w:color="auto" w:fill="EAF1DD" w:themeFill="accent3" w:themeFillTint="33"/>
        <w:jc w:val="both"/>
        <w:rPr>
          <w:rFonts w:ascii="Tahoma" w:hAnsi="Tahoma" w:cs="Tahoma"/>
        </w:rPr>
      </w:pPr>
      <w:r w:rsidRPr="00A845C2">
        <w:t xml:space="preserve"> </w:t>
      </w:r>
      <w:r w:rsidRPr="00DD0EE7">
        <w:rPr>
          <w:rFonts w:ascii="Tahoma" w:hAnsi="Tahoma" w:cs="Tahoma"/>
        </w:rPr>
        <w:t xml:space="preserve">Plan ahead to avoid high risk areas and reduce levels of infection on the farm in </w:t>
      </w:r>
      <w:r>
        <w:rPr>
          <w:rFonts w:ascii="Tahoma" w:hAnsi="Tahoma" w:cs="Tahoma"/>
        </w:rPr>
        <w:t xml:space="preserve">the </w:t>
      </w:r>
      <w:r w:rsidRPr="00DD0EE7">
        <w:rPr>
          <w:rFonts w:ascii="Tahoma" w:hAnsi="Tahoma" w:cs="Tahoma"/>
        </w:rPr>
        <w:t>future</w:t>
      </w:r>
      <w:r>
        <w:rPr>
          <w:rFonts w:ascii="Tahoma" w:hAnsi="Tahoma" w:cs="Tahoma"/>
        </w:rPr>
        <w:t>.</w:t>
      </w:r>
    </w:p>
    <w:p w:rsidR="00F66DD8" w:rsidRPr="00DD0EE7" w:rsidRDefault="00F66DD8" w:rsidP="00F66DD8">
      <w:pPr>
        <w:pStyle w:val="ListParagraph"/>
        <w:numPr>
          <w:ilvl w:val="0"/>
          <w:numId w:val="6"/>
        </w:numPr>
        <w:shd w:val="clear" w:color="auto" w:fill="EAF1DD" w:themeFill="accent3" w:themeFillTint="33"/>
        <w:jc w:val="both"/>
        <w:rPr>
          <w:rFonts w:ascii="Tahoma" w:hAnsi="Tahoma" w:cs="Tahoma"/>
        </w:rPr>
      </w:pPr>
      <w:r w:rsidRPr="00DD0EE7">
        <w:rPr>
          <w:rFonts w:ascii="Tahoma" w:hAnsi="Tahoma" w:cs="Tahoma"/>
        </w:rPr>
        <w:t xml:space="preserve">Assess the risks every year and use </w:t>
      </w:r>
      <w:r>
        <w:rPr>
          <w:rFonts w:ascii="Tahoma" w:hAnsi="Tahoma" w:cs="Tahoma"/>
        </w:rPr>
        <w:t xml:space="preserve">the </w:t>
      </w:r>
      <w:r w:rsidRPr="00DD0EE7">
        <w:rPr>
          <w:rFonts w:ascii="Tahoma" w:hAnsi="Tahoma" w:cs="Tahoma"/>
        </w:rPr>
        <w:t>monitoring tools available</w:t>
      </w:r>
      <w:r w:rsidR="007646F0">
        <w:rPr>
          <w:rFonts w:ascii="Tahoma" w:hAnsi="Tahoma" w:cs="Tahoma"/>
        </w:rPr>
        <w:t xml:space="preserve"> and abattoir feedback</w:t>
      </w:r>
    </w:p>
    <w:p w:rsidR="00F66DD8" w:rsidRPr="00994CAA" w:rsidRDefault="00F66DD8" w:rsidP="00F66DD8">
      <w:pPr>
        <w:pStyle w:val="ListParagraph"/>
        <w:numPr>
          <w:ilvl w:val="0"/>
          <w:numId w:val="6"/>
        </w:numPr>
        <w:shd w:val="clear" w:color="auto" w:fill="EAF1DD" w:themeFill="accent3" w:themeFillTint="33"/>
        <w:jc w:val="both"/>
        <w:rPr>
          <w:rFonts w:ascii="Tahoma" w:hAnsi="Tahoma" w:cs="Tahoma"/>
        </w:rPr>
      </w:pPr>
      <w:r w:rsidRPr="00994CAA">
        <w:rPr>
          <w:rFonts w:ascii="Tahoma" w:hAnsi="Tahoma" w:cs="Tahoma"/>
        </w:rPr>
        <w:t>Choose the right product. TCBZ should be used when killing immature liver fluke is a priority</w:t>
      </w:r>
      <w:r>
        <w:rPr>
          <w:rFonts w:ascii="Tahoma" w:hAnsi="Tahoma" w:cs="Tahoma"/>
        </w:rPr>
        <w:t>.</w:t>
      </w:r>
      <w:r w:rsidRPr="00994CAA">
        <w:rPr>
          <w:rFonts w:ascii="Tahoma" w:hAnsi="Tahoma" w:cs="Tahoma"/>
        </w:rPr>
        <w:t xml:space="preserve"> Alternatives should be </w:t>
      </w:r>
      <w:r>
        <w:rPr>
          <w:rFonts w:ascii="Tahoma" w:hAnsi="Tahoma" w:cs="Tahoma"/>
        </w:rPr>
        <w:t>considered at other times.</w:t>
      </w:r>
    </w:p>
    <w:p w:rsidR="00F66DD8" w:rsidRPr="00994CAA" w:rsidRDefault="00F66DD8" w:rsidP="00F66DD8">
      <w:pPr>
        <w:pStyle w:val="ListParagraph"/>
        <w:numPr>
          <w:ilvl w:val="0"/>
          <w:numId w:val="6"/>
        </w:numPr>
        <w:shd w:val="clear" w:color="auto" w:fill="EAF1DD" w:themeFill="accent3" w:themeFillTint="33"/>
        <w:jc w:val="both"/>
        <w:rPr>
          <w:rFonts w:ascii="Tahoma" w:hAnsi="Tahoma" w:cs="Tahoma"/>
        </w:rPr>
      </w:pPr>
      <w:r w:rsidRPr="00994CAA">
        <w:rPr>
          <w:rFonts w:ascii="Tahoma" w:hAnsi="Tahoma" w:cs="Tahoma"/>
        </w:rPr>
        <w:t>Dose correctly</w:t>
      </w:r>
      <w:r w:rsidR="001E4459">
        <w:rPr>
          <w:rFonts w:ascii="Tahoma" w:hAnsi="Tahoma" w:cs="Tahoma"/>
        </w:rPr>
        <w:t xml:space="preserve"> to the </w:t>
      </w:r>
      <w:r w:rsidRPr="00994CAA">
        <w:rPr>
          <w:rFonts w:ascii="Tahoma" w:hAnsi="Tahoma" w:cs="Tahoma"/>
        </w:rPr>
        <w:t xml:space="preserve">weight of animal*, </w:t>
      </w:r>
      <w:r w:rsidR="001E4459">
        <w:rPr>
          <w:rFonts w:ascii="Tahoma" w:hAnsi="Tahoma" w:cs="Tahoma"/>
        </w:rPr>
        <w:t xml:space="preserve">using the correct </w:t>
      </w:r>
      <w:r w:rsidRPr="00994CAA">
        <w:rPr>
          <w:rFonts w:ascii="Tahoma" w:hAnsi="Tahoma" w:cs="Tahoma"/>
        </w:rPr>
        <w:t>technique. Take particular care with pour-on products</w:t>
      </w:r>
      <w:r w:rsidR="001E4459">
        <w:rPr>
          <w:rFonts w:ascii="Tahoma" w:hAnsi="Tahoma" w:cs="Tahoma"/>
        </w:rPr>
        <w:t xml:space="preserve"> on cattle</w:t>
      </w:r>
      <w:r w:rsidRPr="00994CAA">
        <w:rPr>
          <w:rFonts w:ascii="Tahoma" w:hAnsi="Tahoma" w:cs="Tahoma"/>
        </w:rPr>
        <w:t xml:space="preserve">.  </w:t>
      </w:r>
    </w:p>
    <w:p w:rsidR="00F66DD8" w:rsidRDefault="00F66DD8" w:rsidP="00F66DD8">
      <w:pPr>
        <w:pStyle w:val="ListParagraph"/>
        <w:numPr>
          <w:ilvl w:val="0"/>
          <w:numId w:val="6"/>
        </w:numPr>
        <w:shd w:val="clear" w:color="auto" w:fill="EAF1DD" w:themeFill="accent3" w:themeFillTint="33"/>
        <w:jc w:val="both"/>
        <w:rPr>
          <w:rFonts w:ascii="Tahoma" w:hAnsi="Tahoma" w:cs="Tahoma"/>
        </w:rPr>
      </w:pPr>
      <w:r>
        <w:rPr>
          <w:rFonts w:ascii="Tahoma" w:hAnsi="Tahoma" w:cs="Tahoma"/>
        </w:rPr>
        <w:t>Check for resistance</w:t>
      </w:r>
      <w:r w:rsidR="001E4459">
        <w:rPr>
          <w:rFonts w:ascii="Tahoma" w:hAnsi="Tahoma" w:cs="Tahoma"/>
        </w:rPr>
        <w:t xml:space="preserve"> – take post treatment </w:t>
      </w:r>
      <w:proofErr w:type="gramStart"/>
      <w:r w:rsidR="001E4459">
        <w:rPr>
          <w:rFonts w:ascii="Tahoma" w:hAnsi="Tahoma" w:cs="Tahoma"/>
        </w:rPr>
        <w:t>Faecal</w:t>
      </w:r>
      <w:proofErr w:type="gramEnd"/>
      <w:r w:rsidR="001E4459">
        <w:rPr>
          <w:rFonts w:ascii="Tahoma" w:hAnsi="Tahoma" w:cs="Tahoma"/>
        </w:rPr>
        <w:t xml:space="preserve"> samples as directed by your Vet.</w:t>
      </w:r>
    </w:p>
    <w:p w:rsidR="00F66DD8" w:rsidRDefault="00F66DD8" w:rsidP="00F66DD8">
      <w:pPr>
        <w:pStyle w:val="ListParagraph"/>
        <w:numPr>
          <w:ilvl w:val="0"/>
          <w:numId w:val="6"/>
        </w:numPr>
        <w:shd w:val="clear" w:color="auto" w:fill="EAF1DD" w:themeFill="accent3" w:themeFillTint="33"/>
        <w:rPr>
          <w:rFonts w:ascii="Tahoma" w:hAnsi="Tahoma" w:cs="Tahoma"/>
        </w:rPr>
      </w:pPr>
      <w:r>
        <w:rPr>
          <w:rFonts w:ascii="Tahoma" w:hAnsi="Tahoma" w:cs="Tahoma"/>
        </w:rPr>
        <w:t>Quarantine and treat if required.</w:t>
      </w:r>
    </w:p>
    <w:p w:rsidR="00F66DD8" w:rsidRDefault="00F66DD8" w:rsidP="00F66DD8">
      <w:pPr>
        <w:pStyle w:val="ListParagraph"/>
        <w:shd w:val="clear" w:color="auto" w:fill="EAF1DD" w:themeFill="accent3" w:themeFillTint="33"/>
        <w:rPr>
          <w:rFonts w:ascii="Tahoma" w:hAnsi="Tahoma" w:cs="Tahoma"/>
        </w:rPr>
      </w:pPr>
    </w:p>
    <w:p w:rsidR="00F66DD8" w:rsidRPr="00F86785" w:rsidRDefault="00F66DD8" w:rsidP="00F66DD8">
      <w:pPr>
        <w:pStyle w:val="ListParagraph"/>
        <w:shd w:val="clear" w:color="auto" w:fill="EAF1DD" w:themeFill="accent3" w:themeFillTint="33"/>
        <w:ind w:left="360"/>
        <w:rPr>
          <w:rFonts w:ascii="Tahoma" w:hAnsi="Tahoma" w:cs="Tahoma"/>
          <w:i/>
          <w:sz w:val="18"/>
          <w:szCs w:val="18"/>
        </w:rPr>
      </w:pPr>
      <w:r w:rsidRPr="00F86785">
        <w:rPr>
          <w:rFonts w:ascii="Tahoma" w:hAnsi="Tahoma" w:cs="Tahoma"/>
          <w:i/>
          <w:sz w:val="18"/>
          <w:szCs w:val="18"/>
        </w:rPr>
        <w:t xml:space="preserve">*NB Dose rate according to weight is critical but because of the risk of over –dosing with closantel in particular it may be necessary to make sure farmers split groups into relatively narrow eight ranges for treatment. </w:t>
      </w:r>
    </w:p>
    <w:p w:rsidR="00F66DD8" w:rsidRDefault="00F66DD8" w:rsidP="00F66DD8">
      <w:pPr>
        <w:jc w:val="both"/>
        <w:rPr>
          <w:rFonts w:ascii="Tahoma" w:hAnsi="Tahoma" w:cs="Tahoma"/>
        </w:rPr>
      </w:pPr>
    </w:p>
    <w:p w:rsidR="00F66DD8" w:rsidRDefault="00F66DD8" w:rsidP="00F66DD8">
      <w:pPr>
        <w:jc w:val="both"/>
        <w:rPr>
          <w:rFonts w:ascii="Tahoma" w:hAnsi="Tahoma" w:cs="Tahoma"/>
          <w:b/>
        </w:rPr>
      </w:pPr>
    </w:p>
    <w:p w:rsidR="002631DE" w:rsidRDefault="002631DE" w:rsidP="00F66DD8">
      <w:pPr>
        <w:jc w:val="both"/>
        <w:rPr>
          <w:rFonts w:ascii="Tahoma" w:hAnsi="Tahoma" w:cs="Tahoma"/>
          <w:b/>
        </w:rPr>
      </w:pPr>
    </w:p>
    <w:p w:rsidR="002631DE" w:rsidRDefault="002631DE" w:rsidP="00F66DD8">
      <w:pPr>
        <w:jc w:val="both"/>
        <w:rPr>
          <w:rFonts w:ascii="Tahoma" w:hAnsi="Tahoma" w:cs="Tahoma"/>
          <w:b/>
        </w:rPr>
      </w:pPr>
      <w:r>
        <w:rPr>
          <w:rFonts w:ascii="Tahoma" w:hAnsi="Tahoma" w:cs="Tahoma"/>
          <w:b/>
        </w:rPr>
        <w:t>More information is available:</w:t>
      </w:r>
    </w:p>
    <w:p w:rsidR="002631DE" w:rsidRDefault="002631DE" w:rsidP="006F1E0C">
      <w:r w:rsidRPr="002631DE">
        <w:rPr>
          <w:rFonts w:ascii="Tahoma" w:hAnsi="Tahoma" w:cs="Tahoma"/>
          <w:b/>
          <w:sz w:val="20"/>
          <w:szCs w:val="20"/>
        </w:rPr>
        <w:t>Sheep – SCOPs Technical Manual</w:t>
      </w:r>
      <w:r>
        <w:rPr>
          <w:rFonts w:ascii="Tahoma" w:hAnsi="Tahoma" w:cs="Tahoma"/>
          <w:b/>
          <w:sz w:val="20"/>
          <w:szCs w:val="20"/>
        </w:rPr>
        <w:t xml:space="preserve"> (Chapter 7</w:t>
      </w:r>
      <w:proofErr w:type="gramStart"/>
      <w:r>
        <w:rPr>
          <w:rFonts w:ascii="Tahoma" w:hAnsi="Tahoma" w:cs="Tahoma"/>
          <w:b/>
          <w:sz w:val="20"/>
          <w:szCs w:val="20"/>
        </w:rPr>
        <w:t xml:space="preserve">) </w:t>
      </w:r>
      <w:r w:rsidRPr="002631DE">
        <w:rPr>
          <w:rFonts w:ascii="Tahoma" w:hAnsi="Tahoma" w:cs="Tahoma"/>
          <w:b/>
          <w:sz w:val="20"/>
          <w:szCs w:val="20"/>
        </w:rPr>
        <w:t xml:space="preserve"> 4</w:t>
      </w:r>
      <w:r w:rsidRPr="002631DE">
        <w:rPr>
          <w:rFonts w:ascii="Tahoma" w:hAnsi="Tahoma" w:cs="Tahoma"/>
          <w:b/>
          <w:sz w:val="20"/>
          <w:szCs w:val="20"/>
          <w:vertAlign w:val="superscript"/>
        </w:rPr>
        <w:t>th</w:t>
      </w:r>
      <w:proofErr w:type="gramEnd"/>
      <w:r w:rsidRPr="002631DE">
        <w:rPr>
          <w:rFonts w:ascii="Tahoma" w:hAnsi="Tahoma" w:cs="Tahoma"/>
          <w:b/>
          <w:sz w:val="20"/>
          <w:szCs w:val="20"/>
        </w:rPr>
        <w:t xml:space="preserve"> Edition </w:t>
      </w:r>
      <w:r>
        <w:rPr>
          <w:rFonts w:ascii="Tahoma" w:hAnsi="Tahoma" w:cs="Tahoma"/>
          <w:b/>
          <w:sz w:val="20"/>
          <w:szCs w:val="20"/>
        </w:rPr>
        <w:t xml:space="preserve">2012 </w:t>
      </w:r>
      <w:r w:rsidRPr="002631DE">
        <w:rPr>
          <w:rFonts w:ascii="Tahoma" w:hAnsi="Tahoma" w:cs="Tahoma"/>
          <w:b/>
          <w:sz w:val="20"/>
          <w:szCs w:val="20"/>
        </w:rPr>
        <w:t>at</w:t>
      </w:r>
      <w:r>
        <w:rPr>
          <w:rFonts w:ascii="Tahoma" w:hAnsi="Tahoma" w:cs="Tahoma"/>
          <w:b/>
        </w:rPr>
        <w:t xml:space="preserve"> </w:t>
      </w:r>
      <w:hyperlink r:id="rId9" w:history="1">
        <w:r w:rsidRPr="00C84E9C">
          <w:rPr>
            <w:rStyle w:val="Hyperlink"/>
          </w:rPr>
          <w:t xml:space="preserve">http://www.scops.org.uk/vets-manual.htm </w:t>
        </w:r>
      </w:hyperlink>
      <w:r>
        <w:rPr>
          <w:color w:val="0000FF"/>
          <w:u w:val="single"/>
        </w:rPr>
        <w:t xml:space="preserve"> </w:t>
      </w:r>
    </w:p>
    <w:p w:rsidR="00816C85" w:rsidRPr="00816C85" w:rsidRDefault="002631DE" w:rsidP="00816C85">
      <w:pPr>
        <w:rPr>
          <w:rFonts w:ascii="Times New Roman" w:eastAsia="Times New Roman" w:hAnsi="Times New Roman" w:cs="Times New Roman"/>
          <w:sz w:val="24"/>
          <w:szCs w:val="24"/>
          <w:lang w:eastAsia="en-GB"/>
        </w:rPr>
      </w:pPr>
      <w:r w:rsidRPr="00816C85">
        <w:rPr>
          <w:rFonts w:ascii="Tahoma" w:hAnsi="Tahoma" w:cs="Tahoma"/>
          <w:b/>
          <w:sz w:val="20"/>
          <w:szCs w:val="20"/>
        </w:rPr>
        <w:t xml:space="preserve">Cattle – COWS Technical Manual </w:t>
      </w:r>
      <w:r w:rsidR="00816C85" w:rsidRPr="00816C85">
        <w:rPr>
          <w:rFonts w:ascii="Tahoma" w:hAnsi="Tahoma" w:cs="Tahoma"/>
          <w:b/>
          <w:sz w:val="20"/>
          <w:szCs w:val="20"/>
        </w:rPr>
        <w:t>2010</w:t>
      </w:r>
    </w:p>
    <w:p w:rsidR="00816C85" w:rsidRPr="00816C85" w:rsidRDefault="003156E2" w:rsidP="00816C85">
      <w:pPr>
        <w:spacing w:after="0" w:line="240" w:lineRule="auto"/>
        <w:rPr>
          <w:rFonts w:ascii="Tahoma" w:eastAsia="Times New Roman" w:hAnsi="Tahoma" w:cs="Tahoma"/>
          <w:sz w:val="20"/>
          <w:szCs w:val="20"/>
          <w:lang w:eastAsia="en-GB"/>
        </w:rPr>
      </w:pPr>
      <w:hyperlink r:id="rId10" w:history="1">
        <w:r w:rsidR="00816C85" w:rsidRPr="00816C85">
          <w:rPr>
            <w:rFonts w:ascii="Tahoma" w:eastAsia="Times New Roman" w:hAnsi="Tahoma" w:cs="Tahoma"/>
            <w:color w:val="0000FF"/>
            <w:sz w:val="20"/>
            <w:szCs w:val="20"/>
            <w:u w:val="single"/>
            <w:lang w:eastAsia="en-GB"/>
          </w:rPr>
          <w:t>http://www.eblex.org.uk/documents/content/research/cows_manual_2010_plus.pdf</w:t>
        </w:r>
      </w:hyperlink>
    </w:p>
    <w:p w:rsidR="002631DE" w:rsidRPr="006F1E0C" w:rsidRDefault="002631DE" w:rsidP="00F66DD8">
      <w:pPr>
        <w:jc w:val="both"/>
        <w:rPr>
          <w:rFonts w:ascii="Tahoma" w:hAnsi="Tahoma" w:cs="Tahoma"/>
          <w:b/>
          <w:sz w:val="20"/>
          <w:szCs w:val="20"/>
        </w:rPr>
      </w:pPr>
    </w:p>
    <w:p w:rsidR="002631DE" w:rsidRPr="00F66DD8" w:rsidRDefault="002631DE" w:rsidP="00F66DD8">
      <w:pPr>
        <w:jc w:val="both"/>
        <w:rPr>
          <w:rFonts w:ascii="Tahoma" w:hAnsi="Tahoma" w:cs="Tahoma"/>
          <w:b/>
        </w:rPr>
      </w:pPr>
    </w:p>
    <w:sectPr w:rsidR="002631DE" w:rsidRPr="00F66DD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E2" w:rsidRDefault="003156E2" w:rsidP="001B7830">
      <w:pPr>
        <w:spacing w:after="0" w:line="240" w:lineRule="auto"/>
      </w:pPr>
      <w:r>
        <w:separator/>
      </w:r>
    </w:p>
  </w:endnote>
  <w:endnote w:type="continuationSeparator" w:id="0">
    <w:p w:rsidR="003156E2" w:rsidRDefault="003156E2" w:rsidP="001B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E2" w:rsidRDefault="003156E2" w:rsidP="001B7830">
      <w:pPr>
        <w:spacing w:after="0" w:line="240" w:lineRule="auto"/>
      </w:pPr>
      <w:r>
        <w:separator/>
      </w:r>
    </w:p>
  </w:footnote>
  <w:footnote w:type="continuationSeparator" w:id="0">
    <w:p w:rsidR="003156E2" w:rsidRDefault="003156E2" w:rsidP="001B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0" w:rsidRDefault="001B7830" w:rsidP="001B7830">
    <w:pPr>
      <w:pStyle w:val="Header"/>
      <w:jc w:val="right"/>
    </w:pPr>
    <w:r>
      <w:rPr>
        <w:noProof/>
        <w:lang w:eastAsia="en-GB"/>
      </w:rPr>
      <w:drawing>
        <wp:inline distT="0" distB="0" distL="0" distR="0" wp14:anchorId="3FD3292D" wp14:editId="70A4C532">
          <wp:extent cx="811530" cy="8382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38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86D"/>
    <w:multiLevelType w:val="hybridMultilevel"/>
    <w:tmpl w:val="2D64CB92"/>
    <w:lvl w:ilvl="0" w:tplc="6F6E556A">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1B2318"/>
    <w:multiLevelType w:val="hybridMultilevel"/>
    <w:tmpl w:val="B0BE0B3A"/>
    <w:lvl w:ilvl="0" w:tplc="6F045852">
      <w:start w:val="80"/>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1B2"/>
    <w:multiLevelType w:val="hybridMultilevel"/>
    <w:tmpl w:val="FCA0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336ED5"/>
    <w:multiLevelType w:val="hybridMultilevel"/>
    <w:tmpl w:val="7062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662016"/>
    <w:multiLevelType w:val="hybridMultilevel"/>
    <w:tmpl w:val="B764FB22"/>
    <w:lvl w:ilvl="0" w:tplc="4F164DB6">
      <w:start w:val="99"/>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107B9A"/>
    <w:multiLevelType w:val="hybridMultilevel"/>
    <w:tmpl w:val="02C6B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d2QMEWUZffXTkxbDz22qSK1v1Y=" w:salt="mGGD3vsOMsxEtbKNRF0fs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87"/>
    <w:rsid w:val="00016743"/>
    <w:rsid w:val="00027C70"/>
    <w:rsid w:val="000547B4"/>
    <w:rsid w:val="00071FF9"/>
    <w:rsid w:val="000866C4"/>
    <w:rsid w:val="00092506"/>
    <w:rsid w:val="000A5A16"/>
    <w:rsid w:val="000D6FAF"/>
    <w:rsid w:val="00180887"/>
    <w:rsid w:val="001854AB"/>
    <w:rsid w:val="00192AA3"/>
    <w:rsid w:val="001B7830"/>
    <w:rsid w:val="001E4459"/>
    <w:rsid w:val="002146F8"/>
    <w:rsid w:val="00231882"/>
    <w:rsid w:val="002631DE"/>
    <w:rsid w:val="00284E62"/>
    <w:rsid w:val="002D4C1A"/>
    <w:rsid w:val="003156E2"/>
    <w:rsid w:val="00317BD0"/>
    <w:rsid w:val="0035596D"/>
    <w:rsid w:val="003702BD"/>
    <w:rsid w:val="003F0275"/>
    <w:rsid w:val="004065FE"/>
    <w:rsid w:val="004835AA"/>
    <w:rsid w:val="004B67A2"/>
    <w:rsid w:val="004C6DFA"/>
    <w:rsid w:val="004D5015"/>
    <w:rsid w:val="004F1967"/>
    <w:rsid w:val="00534249"/>
    <w:rsid w:val="00551AEC"/>
    <w:rsid w:val="00556ED7"/>
    <w:rsid w:val="005C4EB0"/>
    <w:rsid w:val="006046B1"/>
    <w:rsid w:val="00610E43"/>
    <w:rsid w:val="00621D41"/>
    <w:rsid w:val="00696624"/>
    <w:rsid w:val="006A53F6"/>
    <w:rsid w:val="006B2791"/>
    <w:rsid w:val="006E0966"/>
    <w:rsid w:val="006F1E0C"/>
    <w:rsid w:val="007646F0"/>
    <w:rsid w:val="00786545"/>
    <w:rsid w:val="00816C85"/>
    <w:rsid w:val="0082171B"/>
    <w:rsid w:val="00833507"/>
    <w:rsid w:val="008473DC"/>
    <w:rsid w:val="00864E81"/>
    <w:rsid w:val="008C03DD"/>
    <w:rsid w:val="00912284"/>
    <w:rsid w:val="009234B0"/>
    <w:rsid w:val="009313C8"/>
    <w:rsid w:val="00952D2C"/>
    <w:rsid w:val="00966DF6"/>
    <w:rsid w:val="00971B73"/>
    <w:rsid w:val="00994CAA"/>
    <w:rsid w:val="009A0A9F"/>
    <w:rsid w:val="009C787D"/>
    <w:rsid w:val="00A22317"/>
    <w:rsid w:val="00A662AB"/>
    <w:rsid w:val="00A845C2"/>
    <w:rsid w:val="00AB206C"/>
    <w:rsid w:val="00AF5F29"/>
    <w:rsid w:val="00B17555"/>
    <w:rsid w:val="00B36FB4"/>
    <w:rsid w:val="00B67BB4"/>
    <w:rsid w:val="00B75895"/>
    <w:rsid w:val="00BA185A"/>
    <w:rsid w:val="00BA660E"/>
    <w:rsid w:val="00BD31F9"/>
    <w:rsid w:val="00BF2841"/>
    <w:rsid w:val="00C06B09"/>
    <w:rsid w:val="00C94F1B"/>
    <w:rsid w:val="00C968E5"/>
    <w:rsid w:val="00CA3690"/>
    <w:rsid w:val="00CA4F37"/>
    <w:rsid w:val="00CB273B"/>
    <w:rsid w:val="00D05B31"/>
    <w:rsid w:val="00D116D1"/>
    <w:rsid w:val="00D7425F"/>
    <w:rsid w:val="00DC3FDC"/>
    <w:rsid w:val="00DD0EE7"/>
    <w:rsid w:val="00DD7DE3"/>
    <w:rsid w:val="00DF2699"/>
    <w:rsid w:val="00E12B64"/>
    <w:rsid w:val="00EB1F13"/>
    <w:rsid w:val="00EC31C0"/>
    <w:rsid w:val="00EE1735"/>
    <w:rsid w:val="00EF5E77"/>
    <w:rsid w:val="00F66DD8"/>
    <w:rsid w:val="00F86785"/>
    <w:rsid w:val="00FC4491"/>
    <w:rsid w:val="00FD0D6B"/>
    <w:rsid w:val="00FE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81"/>
    <w:pPr>
      <w:ind w:left="720"/>
      <w:contextualSpacing/>
    </w:pPr>
  </w:style>
  <w:style w:type="character" w:styleId="Hyperlink">
    <w:name w:val="Hyperlink"/>
    <w:basedOn w:val="DefaultParagraphFont"/>
    <w:uiPriority w:val="99"/>
    <w:unhideWhenUsed/>
    <w:rsid w:val="004C6DFA"/>
    <w:rPr>
      <w:color w:val="0000FF" w:themeColor="hyperlink"/>
      <w:u w:val="single"/>
    </w:rPr>
  </w:style>
  <w:style w:type="character" w:styleId="CommentReference">
    <w:name w:val="annotation reference"/>
    <w:basedOn w:val="DefaultParagraphFont"/>
    <w:uiPriority w:val="99"/>
    <w:semiHidden/>
    <w:unhideWhenUsed/>
    <w:rsid w:val="00BD31F9"/>
    <w:rPr>
      <w:sz w:val="16"/>
      <w:szCs w:val="16"/>
    </w:rPr>
  </w:style>
  <w:style w:type="paragraph" w:styleId="CommentText">
    <w:name w:val="annotation text"/>
    <w:basedOn w:val="Normal"/>
    <w:link w:val="CommentTextChar"/>
    <w:uiPriority w:val="99"/>
    <w:semiHidden/>
    <w:unhideWhenUsed/>
    <w:rsid w:val="00BD31F9"/>
    <w:pPr>
      <w:spacing w:line="240" w:lineRule="auto"/>
    </w:pPr>
    <w:rPr>
      <w:sz w:val="20"/>
      <w:szCs w:val="20"/>
    </w:rPr>
  </w:style>
  <w:style w:type="character" w:customStyle="1" w:styleId="CommentTextChar">
    <w:name w:val="Comment Text Char"/>
    <w:basedOn w:val="DefaultParagraphFont"/>
    <w:link w:val="CommentText"/>
    <w:uiPriority w:val="99"/>
    <w:semiHidden/>
    <w:rsid w:val="00BD31F9"/>
    <w:rPr>
      <w:sz w:val="20"/>
      <w:szCs w:val="20"/>
    </w:rPr>
  </w:style>
  <w:style w:type="paragraph" w:styleId="CommentSubject">
    <w:name w:val="annotation subject"/>
    <w:basedOn w:val="CommentText"/>
    <w:next w:val="CommentText"/>
    <w:link w:val="CommentSubjectChar"/>
    <w:uiPriority w:val="99"/>
    <w:semiHidden/>
    <w:unhideWhenUsed/>
    <w:rsid w:val="00BD31F9"/>
    <w:rPr>
      <w:b/>
      <w:bCs/>
    </w:rPr>
  </w:style>
  <w:style w:type="character" w:customStyle="1" w:styleId="CommentSubjectChar">
    <w:name w:val="Comment Subject Char"/>
    <w:basedOn w:val="CommentTextChar"/>
    <w:link w:val="CommentSubject"/>
    <w:uiPriority w:val="99"/>
    <w:semiHidden/>
    <w:rsid w:val="00BD31F9"/>
    <w:rPr>
      <w:b/>
      <w:bCs/>
      <w:sz w:val="20"/>
      <w:szCs w:val="20"/>
    </w:rPr>
  </w:style>
  <w:style w:type="paragraph" w:styleId="BalloonText">
    <w:name w:val="Balloon Text"/>
    <w:basedOn w:val="Normal"/>
    <w:link w:val="BalloonTextChar"/>
    <w:uiPriority w:val="99"/>
    <w:semiHidden/>
    <w:unhideWhenUsed/>
    <w:rsid w:val="00BD3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F9"/>
    <w:rPr>
      <w:rFonts w:ascii="Tahoma" w:hAnsi="Tahoma" w:cs="Tahoma"/>
      <w:sz w:val="16"/>
      <w:szCs w:val="16"/>
    </w:rPr>
  </w:style>
  <w:style w:type="paragraph" w:styleId="Header">
    <w:name w:val="header"/>
    <w:basedOn w:val="Normal"/>
    <w:link w:val="HeaderChar"/>
    <w:uiPriority w:val="99"/>
    <w:unhideWhenUsed/>
    <w:rsid w:val="001B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30"/>
  </w:style>
  <w:style w:type="paragraph" w:styleId="Footer">
    <w:name w:val="footer"/>
    <w:basedOn w:val="Normal"/>
    <w:link w:val="FooterChar"/>
    <w:uiPriority w:val="99"/>
    <w:unhideWhenUsed/>
    <w:rsid w:val="001B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81"/>
    <w:pPr>
      <w:ind w:left="720"/>
      <w:contextualSpacing/>
    </w:pPr>
  </w:style>
  <w:style w:type="character" w:styleId="Hyperlink">
    <w:name w:val="Hyperlink"/>
    <w:basedOn w:val="DefaultParagraphFont"/>
    <w:uiPriority w:val="99"/>
    <w:unhideWhenUsed/>
    <w:rsid w:val="004C6DFA"/>
    <w:rPr>
      <w:color w:val="0000FF" w:themeColor="hyperlink"/>
      <w:u w:val="single"/>
    </w:rPr>
  </w:style>
  <w:style w:type="character" w:styleId="CommentReference">
    <w:name w:val="annotation reference"/>
    <w:basedOn w:val="DefaultParagraphFont"/>
    <w:uiPriority w:val="99"/>
    <w:semiHidden/>
    <w:unhideWhenUsed/>
    <w:rsid w:val="00BD31F9"/>
    <w:rPr>
      <w:sz w:val="16"/>
      <w:szCs w:val="16"/>
    </w:rPr>
  </w:style>
  <w:style w:type="paragraph" w:styleId="CommentText">
    <w:name w:val="annotation text"/>
    <w:basedOn w:val="Normal"/>
    <w:link w:val="CommentTextChar"/>
    <w:uiPriority w:val="99"/>
    <w:semiHidden/>
    <w:unhideWhenUsed/>
    <w:rsid w:val="00BD31F9"/>
    <w:pPr>
      <w:spacing w:line="240" w:lineRule="auto"/>
    </w:pPr>
    <w:rPr>
      <w:sz w:val="20"/>
      <w:szCs w:val="20"/>
    </w:rPr>
  </w:style>
  <w:style w:type="character" w:customStyle="1" w:styleId="CommentTextChar">
    <w:name w:val="Comment Text Char"/>
    <w:basedOn w:val="DefaultParagraphFont"/>
    <w:link w:val="CommentText"/>
    <w:uiPriority w:val="99"/>
    <w:semiHidden/>
    <w:rsid w:val="00BD31F9"/>
    <w:rPr>
      <w:sz w:val="20"/>
      <w:szCs w:val="20"/>
    </w:rPr>
  </w:style>
  <w:style w:type="paragraph" w:styleId="CommentSubject">
    <w:name w:val="annotation subject"/>
    <w:basedOn w:val="CommentText"/>
    <w:next w:val="CommentText"/>
    <w:link w:val="CommentSubjectChar"/>
    <w:uiPriority w:val="99"/>
    <w:semiHidden/>
    <w:unhideWhenUsed/>
    <w:rsid w:val="00BD31F9"/>
    <w:rPr>
      <w:b/>
      <w:bCs/>
    </w:rPr>
  </w:style>
  <w:style w:type="character" w:customStyle="1" w:styleId="CommentSubjectChar">
    <w:name w:val="Comment Subject Char"/>
    <w:basedOn w:val="CommentTextChar"/>
    <w:link w:val="CommentSubject"/>
    <w:uiPriority w:val="99"/>
    <w:semiHidden/>
    <w:rsid w:val="00BD31F9"/>
    <w:rPr>
      <w:b/>
      <w:bCs/>
      <w:sz w:val="20"/>
      <w:szCs w:val="20"/>
    </w:rPr>
  </w:style>
  <w:style w:type="paragraph" w:styleId="BalloonText">
    <w:name w:val="Balloon Text"/>
    <w:basedOn w:val="Normal"/>
    <w:link w:val="BalloonTextChar"/>
    <w:uiPriority w:val="99"/>
    <w:semiHidden/>
    <w:unhideWhenUsed/>
    <w:rsid w:val="00BD3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F9"/>
    <w:rPr>
      <w:rFonts w:ascii="Tahoma" w:hAnsi="Tahoma" w:cs="Tahoma"/>
      <w:sz w:val="16"/>
      <w:szCs w:val="16"/>
    </w:rPr>
  </w:style>
  <w:style w:type="paragraph" w:styleId="Header">
    <w:name w:val="header"/>
    <w:basedOn w:val="Normal"/>
    <w:link w:val="HeaderChar"/>
    <w:uiPriority w:val="99"/>
    <w:unhideWhenUsed/>
    <w:rsid w:val="001B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30"/>
  </w:style>
  <w:style w:type="paragraph" w:styleId="Footer">
    <w:name w:val="footer"/>
    <w:basedOn w:val="Normal"/>
    <w:link w:val="FooterChar"/>
    <w:uiPriority w:val="99"/>
    <w:unhideWhenUsed/>
    <w:rsid w:val="001B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192">
      <w:bodyDiv w:val="1"/>
      <w:marLeft w:val="0"/>
      <w:marRight w:val="0"/>
      <w:marTop w:val="0"/>
      <w:marBottom w:val="0"/>
      <w:divBdr>
        <w:top w:val="none" w:sz="0" w:space="0" w:color="auto"/>
        <w:left w:val="none" w:sz="0" w:space="0" w:color="auto"/>
        <w:bottom w:val="none" w:sz="0" w:space="0" w:color="auto"/>
        <w:right w:val="none" w:sz="0" w:space="0" w:color="auto"/>
      </w:divBdr>
    </w:div>
    <w:div w:id="1104303977">
      <w:bodyDiv w:val="1"/>
      <w:marLeft w:val="0"/>
      <w:marRight w:val="0"/>
      <w:marTop w:val="0"/>
      <w:marBottom w:val="0"/>
      <w:divBdr>
        <w:top w:val="none" w:sz="0" w:space="0" w:color="auto"/>
        <w:left w:val="none" w:sz="0" w:space="0" w:color="auto"/>
        <w:bottom w:val="none" w:sz="0" w:space="0" w:color="auto"/>
        <w:right w:val="none" w:sz="0" w:space="0" w:color="auto"/>
      </w:divBdr>
    </w:div>
    <w:div w:id="14958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s.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blex.org.uk/documents/content/research/cows_manual_2010_plus.pdf" TargetMode="External"/><Relationship Id="rId4" Type="http://schemas.openxmlformats.org/officeDocument/2006/relationships/settings" Target="settings.xml"/><Relationship Id="rId9" Type="http://schemas.openxmlformats.org/officeDocument/2006/relationships/hyperlink" Target="http://www.scops.org.uk/vets-manual.htm%20Chapter%2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6526</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i5</dc:creator>
  <cp:lastModifiedBy>Lesley i5</cp:lastModifiedBy>
  <cp:revision>3</cp:revision>
  <dcterms:created xsi:type="dcterms:W3CDTF">2012-09-21T14:47:00Z</dcterms:created>
  <dcterms:modified xsi:type="dcterms:W3CDTF">2012-09-21T14:47:00Z</dcterms:modified>
</cp:coreProperties>
</file>